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jc w:val="center"/>
        <w:textAlignment w:val="auto"/>
        <w:outlineLvl w:val="9"/>
        <w:rPr>
          <w:rFonts w:hint="eastAsia"/>
          <w:b/>
          <w:bCs/>
          <w:color w:val="FF0000"/>
          <w:w w:val="50"/>
          <w:sz w:val="220"/>
          <w:szCs w:val="220"/>
          <w:lang w:eastAsia="zh-CN"/>
        </w:rPr>
      </w:pPr>
      <w:r>
        <w:rPr>
          <w:rFonts w:hint="eastAsia"/>
          <w:b/>
          <w:bCs/>
          <w:color w:val="FF0000"/>
          <w:w w:val="50"/>
          <w:sz w:val="144"/>
          <w:szCs w:val="96"/>
          <w:lang w:eastAsia="zh-CN"/>
        </w:rPr>
        <w:t>新宾满族自治县教育局</w:t>
      </w:r>
    </w:p>
    <w:p>
      <w:pPr>
        <w:jc w:val="center"/>
        <w:rPr>
          <w:rFonts w:hint="eastAsia" w:ascii="方正小标宋简体" w:eastAsia="方正小标宋简体"/>
          <w:color w:val="000000"/>
          <w:sz w:val="44"/>
          <w:szCs w:val="44"/>
          <w:lang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206375</wp:posOffset>
                </wp:positionV>
                <wp:extent cx="5380990" cy="38100"/>
                <wp:effectExtent l="0" t="7620" r="10160" b="11430"/>
                <wp:wrapNone/>
                <wp:docPr id="1" name="直线 6"/>
                <wp:cNvGraphicFramePr/>
                <a:graphic xmlns:a="http://schemas.openxmlformats.org/drawingml/2006/main">
                  <a:graphicData uri="http://schemas.microsoft.com/office/word/2010/wordprocessingShape">
                    <wps:wsp>
                      <wps:cNvCnPr/>
                      <wps:spPr>
                        <a:xfrm>
                          <a:off x="0" y="0"/>
                          <a:ext cx="5380990" cy="3810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7.6pt;margin-top:16.25pt;height:3pt;width:423.7pt;z-index:251659264;mso-width-relative:page;mso-height-relative:page;" filled="f" stroked="t" coordsize="21600,21600" o:gfxdata="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519P/2AAAAAgBAAAPAAAAAAAAAAEA&#10;IAAAACIAAABkcnMvZG93bnJldi54bWxQSwECFAAUAAAACACHTuJA9UatKNYBAACSAwAADgAAAAAA&#10;AAABACAAAAAnAQAAZHJzL2Uyb0RvYy54bWxQSwUGAAAAAAYABgBZAQAAbwUAAAAA&#10;">
                <v:fill on="f" focussize="0,0"/>
                <v:stroke weight="1.25pt" color="#FF0000" joinstyle="round"/>
                <v:imagedata o:title=""/>
                <o:lock v:ext="edit" aspectratio="f"/>
              </v:line>
            </w:pict>
          </mc:Fallback>
        </mc:AlternateContent>
      </w:r>
    </w:p>
    <w:p>
      <w:pPr>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lang w:eastAsia="zh-CN"/>
        </w:rPr>
        <w:t>新宾满族自治县</w:t>
      </w:r>
      <w:r>
        <w:rPr>
          <w:rFonts w:hint="eastAsia" w:ascii="宋体" w:hAnsi="宋体" w:eastAsia="宋体" w:cs="宋体"/>
          <w:b/>
          <w:bCs/>
          <w:color w:val="000000"/>
          <w:sz w:val="44"/>
          <w:szCs w:val="44"/>
        </w:rPr>
        <w:t>教育局等十一部门</w:t>
      </w:r>
    </w:p>
    <w:p>
      <w:pPr>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关于印发《</w:t>
      </w:r>
      <w:r>
        <w:rPr>
          <w:rFonts w:hint="eastAsia" w:ascii="宋体" w:hAnsi="宋体" w:eastAsia="宋体" w:cs="宋体"/>
          <w:b/>
          <w:bCs/>
          <w:color w:val="000000"/>
          <w:sz w:val="44"/>
          <w:szCs w:val="44"/>
          <w:lang w:eastAsia="zh-CN"/>
        </w:rPr>
        <w:t>新宾满族自治县</w:t>
      </w:r>
      <w:r>
        <w:rPr>
          <w:rFonts w:hint="eastAsia" w:ascii="宋体" w:hAnsi="宋体" w:eastAsia="宋体" w:cs="宋体"/>
          <w:b/>
          <w:bCs/>
          <w:color w:val="000000"/>
          <w:sz w:val="44"/>
          <w:szCs w:val="44"/>
        </w:rPr>
        <w:t>加强中小学生欺凌综合治理实施方案》的通知</w:t>
      </w:r>
    </w:p>
    <w:p>
      <w:pPr>
        <w:rPr>
          <w:color w:val="000000"/>
        </w:rPr>
      </w:pPr>
    </w:p>
    <w:p>
      <w:pPr>
        <w:rPr>
          <w:color w:val="000000"/>
        </w:rPr>
      </w:pPr>
      <w:r>
        <w:rPr>
          <w:rFonts w:hint="eastAsia" w:ascii="仿宋" w:hAnsi="仿宋" w:eastAsia="仿宋" w:cs="仿宋"/>
          <w:sz w:val="32"/>
          <w:szCs w:val="32"/>
          <w:lang w:val="en-US" w:eastAsia="zh-CN"/>
        </w:rPr>
        <w:t>各乡镇中小学、县直各学校</w:t>
      </w:r>
      <w:r>
        <w:rPr>
          <w:rFonts w:hint="eastAsia"/>
          <w:color w:val="000000"/>
        </w:rPr>
        <w:t>：</w:t>
      </w:r>
    </w:p>
    <w:p>
      <w:pPr>
        <w:ind w:firstLine="645"/>
        <w:rPr>
          <w:color w:val="000000"/>
        </w:rPr>
      </w:pPr>
      <w:r>
        <w:rPr>
          <w:rFonts w:hint="eastAsia"/>
          <w:color w:val="000000"/>
        </w:rPr>
        <w:t>按照《辽宁省教育厅等十一部门关于印发</w:t>
      </w:r>
      <w:r>
        <w:rPr>
          <w:color w:val="000000"/>
        </w:rPr>
        <w:t>&lt;</w:t>
      </w:r>
      <w:r>
        <w:rPr>
          <w:rFonts w:hint="eastAsia"/>
          <w:color w:val="000000"/>
        </w:rPr>
        <w:t>辽宁省加强中小学生欺凌综合治理具体实施方案和责任分工</w:t>
      </w:r>
      <w:r>
        <w:rPr>
          <w:color w:val="000000"/>
        </w:rPr>
        <w:t>&gt;</w:t>
      </w:r>
      <w:r>
        <w:rPr>
          <w:rFonts w:hint="eastAsia"/>
          <w:color w:val="000000"/>
        </w:rPr>
        <w:t>的通知》（辽教发〔</w:t>
      </w:r>
      <w:r>
        <w:rPr>
          <w:color w:val="000000"/>
        </w:rPr>
        <w:t>2018</w:t>
      </w:r>
      <w:r>
        <w:rPr>
          <w:rFonts w:hint="eastAsia"/>
          <w:color w:val="000000"/>
        </w:rPr>
        <w:t>〕</w:t>
      </w:r>
      <w:r>
        <w:rPr>
          <w:color w:val="000000"/>
        </w:rPr>
        <w:t>10</w:t>
      </w:r>
      <w:r>
        <w:rPr>
          <w:rFonts w:hint="eastAsia"/>
          <w:color w:val="000000"/>
        </w:rPr>
        <w:t>号）精神及市教育局等十一个部门通知要求，县教育局等十一部门联合制发了《</w:t>
      </w:r>
      <w:r>
        <w:rPr>
          <w:rFonts w:hint="eastAsia"/>
          <w:color w:val="000000"/>
          <w:lang w:eastAsia="zh-CN"/>
        </w:rPr>
        <w:t>新宾满族自治县</w:t>
      </w:r>
      <w:r>
        <w:rPr>
          <w:rFonts w:hint="eastAsia"/>
          <w:color w:val="000000"/>
        </w:rPr>
        <w:t>加强中小学生欺凌综合治理实施方案》，现印发给你们，请遵照执行。</w:t>
      </w:r>
    </w:p>
    <w:p>
      <w:pPr>
        <w:rPr>
          <w:color w:val="000000"/>
        </w:rPr>
      </w:pPr>
    </w:p>
    <w:p>
      <w:pPr>
        <w:ind w:left="5760" w:leftChars="100" w:hanging="5440" w:hangingChars="1700"/>
        <w:rPr>
          <w:color w:val="000000"/>
        </w:rPr>
      </w:pPr>
      <w:r>
        <w:rPr>
          <w:rFonts w:hint="eastAsia"/>
          <w:color w:val="000000"/>
          <w:lang w:eastAsia="zh-CN"/>
        </w:rPr>
        <w:t>新宾满族自治县</w:t>
      </w:r>
      <w:r>
        <w:rPr>
          <w:rFonts w:hint="eastAsia"/>
          <w:color w:val="000000"/>
        </w:rPr>
        <w:t>教育局</w:t>
      </w:r>
      <w:r>
        <w:rPr>
          <w:color w:val="000000"/>
        </w:rPr>
        <w:t xml:space="preserve">    </w:t>
      </w:r>
      <w:r>
        <w:rPr>
          <w:rFonts w:hint="eastAsia"/>
          <w:color w:val="000000"/>
          <w:lang w:val="en-US" w:eastAsia="zh-CN"/>
        </w:rPr>
        <w:t xml:space="preserve">      </w:t>
      </w:r>
      <w:r>
        <w:rPr>
          <w:rFonts w:hint="eastAsia"/>
          <w:color w:val="000000"/>
          <w:lang w:eastAsia="zh-CN"/>
        </w:rPr>
        <w:t>新宾满族自治县</w:t>
      </w:r>
      <w:r>
        <w:rPr>
          <w:rFonts w:hint="eastAsia"/>
          <w:color w:val="000000"/>
        </w:rPr>
        <w:t>社会治安综合</w:t>
      </w:r>
      <w:r>
        <w:rPr>
          <w:rFonts w:hint="eastAsia"/>
          <w:color w:val="000000"/>
          <w:lang w:eastAsia="zh-CN"/>
        </w:rPr>
        <w:t>治理委员会办公室</w:t>
      </w:r>
      <w:r>
        <w:rPr>
          <w:color w:val="000000"/>
        </w:rPr>
        <w:t xml:space="preserve">  </w:t>
      </w:r>
    </w:p>
    <w:p>
      <w:pPr>
        <w:ind w:firstLine="320" w:firstLineChars="100"/>
        <w:rPr>
          <w:color w:val="000000"/>
        </w:rPr>
      </w:pPr>
    </w:p>
    <w:p>
      <w:pPr>
        <w:ind w:firstLine="320" w:firstLineChars="100"/>
        <w:rPr>
          <w:color w:val="000000"/>
        </w:rPr>
      </w:pPr>
      <w:r>
        <w:rPr>
          <w:rFonts w:hint="eastAsia"/>
          <w:color w:val="000000"/>
          <w:lang w:eastAsia="zh-CN"/>
        </w:rPr>
        <w:t>新宾满族自治县</w:t>
      </w:r>
      <w:r>
        <w:rPr>
          <w:rFonts w:hint="eastAsia"/>
          <w:color w:val="000000"/>
        </w:rPr>
        <w:t>人民法院</w:t>
      </w:r>
      <w:r>
        <w:rPr>
          <w:rFonts w:hint="eastAsia"/>
          <w:color w:val="000000"/>
          <w:lang w:val="en-US" w:eastAsia="zh-CN"/>
        </w:rPr>
        <w:t xml:space="preserve">        </w:t>
      </w:r>
      <w:r>
        <w:rPr>
          <w:rFonts w:hint="eastAsia"/>
          <w:color w:val="000000"/>
          <w:lang w:eastAsia="zh-CN"/>
        </w:rPr>
        <w:t>新宾满族自治县</w:t>
      </w:r>
      <w:r>
        <w:rPr>
          <w:rFonts w:hint="eastAsia"/>
          <w:color w:val="000000"/>
        </w:rPr>
        <w:t>人民检察院</w:t>
      </w:r>
      <w:r>
        <w:rPr>
          <w:color w:val="000000"/>
        </w:rPr>
        <w:t xml:space="preserve">       </w:t>
      </w:r>
    </w:p>
    <w:p>
      <w:pPr>
        <w:ind w:firstLine="320" w:firstLineChars="100"/>
        <w:rPr>
          <w:rFonts w:hint="eastAsia"/>
          <w:color w:val="000000"/>
          <w:lang w:eastAsia="zh-CN"/>
        </w:rPr>
      </w:pPr>
    </w:p>
    <w:p>
      <w:pPr>
        <w:ind w:firstLine="320" w:firstLineChars="100"/>
        <w:rPr>
          <w:color w:val="000000"/>
        </w:rPr>
      </w:pPr>
      <w:r>
        <w:rPr>
          <w:rFonts w:hint="eastAsia"/>
          <w:color w:val="000000"/>
          <w:lang w:eastAsia="zh-CN"/>
        </w:rPr>
        <w:t>新宾满族自治县</w:t>
      </w:r>
      <w:r>
        <w:rPr>
          <w:rFonts w:hint="eastAsia"/>
          <w:color w:val="000000"/>
        </w:rPr>
        <w:t>公安局</w:t>
      </w:r>
      <w:r>
        <w:rPr>
          <w:color w:val="000000"/>
        </w:rPr>
        <w:t xml:space="preserve">      </w:t>
      </w:r>
      <w:r>
        <w:rPr>
          <w:rFonts w:hint="eastAsia"/>
          <w:color w:val="000000"/>
          <w:lang w:val="en-US" w:eastAsia="zh-CN"/>
        </w:rPr>
        <w:t xml:space="preserve">     </w:t>
      </w:r>
      <w:r>
        <w:rPr>
          <w:rFonts w:hint="eastAsia"/>
          <w:color w:val="000000"/>
          <w:lang w:eastAsia="zh-CN"/>
        </w:rPr>
        <w:t>新宾满族自治县</w:t>
      </w:r>
      <w:r>
        <w:rPr>
          <w:rFonts w:hint="eastAsia"/>
          <w:color w:val="000000"/>
        </w:rPr>
        <w:t>民政局</w:t>
      </w:r>
    </w:p>
    <w:p>
      <w:pPr>
        <w:rPr>
          <w:color w:val="000000"/>
        </w:rPr>
      </w:pPr>
    </w:p>
    <w:p>
      <w:pPr>
        <w:rPr>
          <w:color w:val="000000"/>
        </w:rPr>
      </w:pPr>
    </w:p>
    <w:p>
      <w:pPr>
        <w:ind w:left="6080" w:leftChars="100" w:hanging="5760" w:hangingChars="1800"/>
        <w:rPr>
          <w:color w:val="000000"/>
        </w:rPr>
      </w:pPr>
      <w:r>
        <w:rPr>
          <w:rFonts w:hint="eastAsia"/>
          <w:color w:val="000000"/>
          <w:lang w:eastAsia="zh-CN"/>
        </w:rPr>
        <w:t>新宾满族自治县</w:t>
      </w:r>
      <w:r>
        <w:rPr>
          <w:rFonts w:hint="eastAsia"/>
          <w:color w:val="000000"/>
        </w:rPr>
        <w:t>司法局</w:t>
      </w:r>
      <w:r>
        <w:rPr>
          <w:color w:val="000000"/>
        </w:rPr>
        <w:t xml:space="preserve">      </w:t>
      </w:r>
      <w:r>
        <w:rPr>
          <w:rFonts w:hint="eastAsia"/>
          <w:color w:val="000000"/>
          <w:lang w:val="en-US" w:eastAsia="zh-CN"/>
        </w:rPr>
        <w:t xml:space="preserve">     </w:t>
      </w:r>
      <w:r>
        <w:rPr>
          <w:rFonts w:hint="eastAsia"/>
          <w:color w:val="000000"/>
          <w:lang w:eastAsia="zh-CN"/>
        </w:rPr>
        <w:t>新宾满族自治县</w:t>
      </w:r>
      <w:r>
        <w:rPr>
          <w:rFonts w:hint="eastAsia"/>
          <w:color w:val="000000"/>
        </w:rPr>
        <w:t>人力资源和社会保障局</w:t>
      </w:r>
      <w:r>
        <w:rPr>
          <w:color w:val="000000"/>
        </w:rPr>
        <w:t xml:space="preserve">        </w:t>
      </w:r>
    </w:p>
    <w:p>
      <w:pPr>
        <w:ind w:left="6080" w:leftChars="100" w:hanging="5760" w:hangingChars="1800"/>
        <w:rPr>
          <w:color w:val="000000"/>
        </w:rPr>
      </w:pPr>
    </w:p>
    <w:p>
      <w:pPr>
        <w:ind w:firstLine="320" w:firstLineChars="100"/>
        <w:rPr>
          <w:color w:val="000000"/>
        </w:rPr>
      </w:pPr>
      <w:r>
        <w:rPr>
          <w:rFonts w:hint="eastAsia"/>
          <w:color w:val="000000"/>
        </w:rPr>
        <w:t>共青团</w:t>
      </w:r>
      <w:r>
        <w:rPr>
          <w:rFonts w:hint="eastAsia"/>
          <w:color w:val="000000"/>
          <w:lang w:eastAsia="zh-CN"/>
        </w:rPr>
        <w:t>新宾满族自治县</w:t>
      </w:r>
      <w:r>
        <w:rPr>
          <w:rFonts w:hint="eastAsia"/>
          <w:color w:val="000000"/>
        </w:rPr>
        <w:t>委</w:t>
      </w:r>
      <w:r>
        <w:rPr>
          <w:color w:val="000000"/>
        </w:rPr>
        <w:t xml:space="preserve">  </w:t>
      </w:r>
      <w:r>
        <w:rPr>
          <w:rFonts w:hint="eastAsia"/>
          <w:color w:val="000000"/>
          <w:lang w:val="en-US" w:eastAsia="zh-CN"/>
        </w:rPr>
        <w:t xml:space="preserve">        </w:t>
      </w:r>
      <w:r>
        <w:rPr>
          <w:rFonts w:hint="eastAsia"/>
          <w:color w:val="000000"/>
          <w:lang w:eastAsia="zh-CN"/>
        </w:rPr>
        <w:t>新宾满族自治县</w:t>
      </w:r>
      <w:r>
        <w:rPr>
          <w:rFonts w:hint="eastAsia"/>
          <w:color w:val="000000"/>
        </w:rPr>
        <w:t>妇联</w:t>
      </w:r>
      <w:r>
        <w:rPr>
          <w:color w:val="000000"/>
        </w:rPr>
        <w:t xml:space="preserve">                           </w:t>
      </w:r>
    </w:p>
    <w:p>
      <w:pPr>
        <w:rPr>
          <w:color w:val="000000"/>
        </w:rPr>
      </w:pPr>
    </w:p>
    <w:p>
      <w:pPr>
        <w:rPr>
          <w:rFonts w:hint="eastAsia"/>
          <w:color w:val="000000"/>
          <w:lang w:eastAsia="zh-CN"/>
        </w:rPr>
      </w:pPr>
    </w:p>
    <w:p>
      <w:pPr>
        <w:ind w:firstLine="320" w:firstLineChars="100"/>
        <w:rPr>
          <w:color w:val="000000"/>
        </w:rPr>
      </w:pPr>
      <w:r>
        <w:rPr>
          <w:rFonts w:hint="eastAsia"/>
          <w:color w:val="000000"/>
          <w:lang w:eastAsia="zh-CN"/>
        </w:rPr>
        <w:t>新宾满族自治县</w:t>
      </w:r>
      <w:r>
        <w:rPr>
          <w:rFonts w:hint="eastAsia"/>
          <w:color w:val="000000"/>
        </w:rPr>
        <w:t>残联</w:t>
      </w:r>
    </w:p>
    <w:p>
      <w:pPr>
        <w:rPr>
          <w:color w:val="000000"/>
        </w:rPr>
      </w:pPr>
    </w:p>
    <w:p>
      <w:pPr>
        <w:jc w:val="center"/>
        <w:rPr>
          <w:rFonts w:hint="eastAsia" w:eastAsia="仿宋_GB2312"/>
          <w:color w:val="000000"/>
          <w:lang w:val="en-US" w:eastAsia="zh-CN"/>
        </w:rPr>
      </w:pPr>
      <w:r>
        <w:rPr>
          <w:rFonts w:hint="eastAsia"/>
          <w:color w:val="000000"/>
          <w:lang w:val="en-US" w:eastAsia="zh-CN"/>
        </w:rPr>
        <w:t xml:space="preserve">                                        2018年3月21日</w:t>
      </w:r>
    </w:p>
    <w:p>
      <w:pPr>
        <w:rPr>
          <w:color w:val="000000"/>
        </w:rPr>
      </w:pPr>
    </w:p>
    <w:p>
      <w:pPr>
        <w:rPr>
          <w:color w:val="000000"/>
        </w:rPr>
      </w:pPr>
      <w:r>
        <w:rPr>
          <w:rFonts w:hint="eastAsia"/>
          <w:color w:val="000000"/>
        </w:rPr>
        <w:t>（此件公开发布）</w:t>
      </w:r>
    </w:p>
    <w:p>
      <w:pPr>
        <w:jc w:val="both"/>
        <w:rPr>
          <w:rFonts w:ascii="方正小标宋简体" w:eastAsia="方正小标宋简体"/>
          <w:color w:val="000000"/>
          <w:sz w:val="44"/>
          <w:szCs w:val="44"/>
        </w:rPr>
      </w:pPr>
    </w:p>
    <w:p>
      <w:pPr>
        <w:jc w:val="center"/>
        <w:rPr>
          <w:rFonts w:hint="eastAsia" w:ascii="宋体" w:hAnsi="宋体" w:eastAsia="宋体"/>
          <w:b/>
          <w:color w:val="000000"/>
          <w:sz w:val="44"/>
          <w:szCs w:val="44"/>
          <w:lang w:eastAsia="zh-CN"/>
        </w:rPr>
      </w:pPr>
    </w:p>
    <w:p>
      <w:pPr>
        <w:jc w:val="center"/>
        <w:rPr>
          <w:rFonts w:hint="eastAsia" w:ascii="宋体" w:hAnsi="宋体" w:eastAsia="宋体"/>
          <w:b/>
          <w:color w:val="000000"/>
          <w:sz w:val="44"/>
          <w:szCs w:val="44"/>
          <w:lang w:eastAsia="zh-CN"/>
        </w:rPr>
      </w:pPr>
    </w:p>
    <w:p>
      <w:pPr>
        <w:jc w:val="center"/>
        <w:rPr>
          <w:rFonts w:hint="eastAsia" w:ascii="宋体" w:hAnsi="宋体" w:eastAsia="宋体"/>
          <w:b/>
          <w:color w:val="000000"/>
          <w:sz w:val="44"/>
          <w:szCs w:val="44"/>
          <w:lang w:eastAsia="zh-CN"/>
        </w:rPr>
      </w:pPr>
    </w:p>
    <w:p>
      <w:pPr>
        <w:jc w:val="center"/>
        <w:rPr>
          <w:rFonts w:hint="eastAsia" w:ascii="宋体" w:hAnsi="宋体" w:eastAsia="宋体"/>
          <w:b/>
          <w:color w:val="000000"/>
          <w:sz w:val="44"/>
          <w:szCs w:val="44"/>
          <w:lang w:eastAsia="zh-CN"/>
        </w:rPr>
      </w:pPr>
    </w:p>
    <w:p>
      <w:pPr>
        <w:jc w:val="center"/>
        <w:rPr>
          <w:rFonts w:hint="eastAsia" w:ascii="宋体" w:hAnsi="宋体" w:eastAsia="宋体"/>
          <w:b/>
          <w:color w:val="000000"/>
          <w:sz w:val="44"/>
          <w:szCs w:val="44"/>
          <w:lang w:eastAsia="zh-CN"/>
        </w:rPr>
      </w:pPr>
    </w:p>
    <w:p>
      <w:pPr>
        <w:jc w:val="center"/>
        <w:rPr>
          <w:rFonts w:hint="eastAsia" w:ascii="宋体" w:hAnsi="宋体" w:eastAsia="宋体"/>
          <w:b/>
          <w:color w:val="000000"/>
          <w:sz w:val="44"/>
          <w:szCs w:val="44"/>
          <w:lang w:eastAsia="zh-CN"/>
        </w:rPr>
      </w:pPr>
    </w:p>
    <w:p>
      <w:pPr>
        <w:jc w:val="center"/>
        <w:rPr>
          <w:rFonts w:hint="eastAsia" w:ascii="宋体" w:hAnsi="宋体" w:eastAsia="宋体"/>
          <w:b/>
          <w:color w:val="000000"/>
          <w:sz w:val="44"/>
          <w:szCs w:val="44"/>
          <w:lang w:eastAsia="zh-CN"/>
        </w:rPr>
      </w:pPr>
    </w:p>
    <w:p>
      <w:pPr>
        <w:jc w:val="center"/>
        <w:rPr>
          <w:rFonts w:hint="eastAsia" w:ascii="宋体" w:hAnsi="宋体" w:eastAsia="宋体"/>
          <w:b/>
          <w:color w:val="000000"/>
          <w:sz w:val="44"/>
          <w:szCs w:val="44"/>
        </w:rPr>
      </w:pPr>
      <w:r>
        <w:rPr>
          <w:rFonts w:hint="eastAsia" w:ascii="宋体" w:hAnsi="宋体" w:eastAsia="宋体"/>
          <w:b/>
          <w:color w:val="000000"/>
          <w:sz w:val="44"/>
          <w:szCs w:val="44"/>
          <w:lang w:eastAsia="zh-CN"/>
        </w:rPr>
        <w:t>新宾满族自治</w:t>
      </w:r>
      <w:r>
        <w:rPr>
          <w:rFonts w:hint="eastAsia" w:ascii="宋体" w:hAnsi="宋体" w:eastAsia="宋体"/>
          <w:b/>
          <w:color w:val="000000"/>
          <w:sz w:val="44"/>
          <w:szCs w:val="44"/>
        </w:rPr>
        <w:t>县</w:t>
      </w:r>
    </w:p>
    <w:p>
      <w:pPr>
        <w:jc w:val="center"/>
        <w:rPr>
          <w:rFonts w:ascii="宋体" w:hAnsi="宋体" w:eastAsia="宋体"/>
          <w:b/>
          <w:color w:val="000000"/>
          <w:sz w:val="44"/>
          <w:szCs w:val="44"/>
        </w:rPr>
      </w:pPr>
      <w:r>
        <w:rPr>
          <w:rFonts w:hint="eastAsia" w:ascii="宋体" w:hAnsi="宋体" w:eastAsia="宋体"/>
          <w:b/>
          <w:color w:val="000000"/>
          <w:sz w:val="44"/>
          <w:szCs w:val="44"/>
        </w:rPr>
        <w:t>加强中小学生欺凌综合治理实施方案</w:t>
      </w:r>
    </w:p>
    <w:p>
      <w:pPr>
        <w:spacing w:line="580" w:lineRule="exact"/>
        <w:ind w:firstLine="640" w:firstLineChars="200"/>
        <w:rPr>
          <w:color w:val="000000"/>
        </w:rPr>
      </w:pPr>
    </w:p>
    <w:p>
      <w:pPr>
        <w:spacing w:line="580" w:lineRule="exact"/>
        <w:ind w:firstLine="640" w:firstLineChars="200"/>
        <w:rPr>
          <w:rFonts w:hAnsi="仿宋"/>
          <w:color w:val="000000"/>
          <w:szCs w:val="32"/>
        </w:rPr>
      </w:pPr>
      <w:r>
        <w:rPr>
          <w:rFonts w:hint="eastAsia" w:hAnsi="仿宋"/>
          <w:color w:val="000000"/>
          <w:szCs w:val="32"/>
        </w:rPr>
        <w:t>为落实好省教育厅、省综治办、省高级人民法院、省人民检察院、省公安厅、省民政厅、省司法厅、省人力资源和社会保障部、共青团省委、省妇联、省残联等十一部门共同印发的《辽宁省加强中小学生欺凌综合治理具体实施方案和责任分工》及市教育局等部门相关要求（以下简称《方案》）任务和要求，特制定我县具体实施方案。</w:t>
      </w:r>
    </w:p>
    <w:p>
      <w:pPr>
        <w:spacing w:line="580" w:lineRule="exact"/>
        <w:rPr>
          <w:rFonts w:hAnsi="仿宋"/>
          <w:b/>
          <w:bCs/>
          <w:color w:val="000000"/>
          <w:szCs w:val="32"/>
        </w:rPr>
      </w:pPr>
      <w:r>
        <w:rPr>
          <w:rFonts w:hint="eastAsia" w:hAnsi="仿宋"/>
          <w:color w:val="000000"/>
          <w:szCs w:val="32"/>
        </w:rPr>
        <w:t>　</w:t>
      </w:r>
      <w:r>
        <w:rPr>
          <w:rFonts w:hint="eastAsia" w:ascii="黑体" w:hAnsi="黑体" w:eastAsia="黑体" w:cs="黑体"/>
          <w:b/>
          <w:bCs/>
          <w:color w:val="000000"/>
          <w:szCs w:val="32"/>
        </w:rPr>
        <w:t>　一、认真贯彻《方案》提出加强中小学生欺凌综合治理工作的指导思想</w:t>
      </w:r>
    </w:p>
    <w:p>
      <w:pPr>
        <w:spacing w:line="580" w:lineRule="exact"/>
        <w:rPr>
          <w:rFonts w:hAnsi="仿宋"/>
          <w:color w:val="000000"/>
          <w:szCs w:val="32"/>
        </w:rPr>
      </w:pPr>
      <w:r>
        <w:rPr>
          <w:rFonts w:hint="eastAsia" w:hAnsi="仿宋"/>
          <w:color w:val="000000"/>
          <w:szCs w:val="32"/>
        </w:rPr>
        <w:t>　　以习近平新时代中国特色社会主义思想为指导，全面贯彻党的教育方针，落实立德树人根本任务，大力培育和弘扬社会主义核心价值观，不断提高中小学生思想道德素质，健全预防、处置学生欺凌的工作体制和规章制度，以形成防治中小学生欺凌长效机制为目标，以促进部门协作、上下联动、形成合力为保障，确保中小学生欺凌防治工作落到实处，把校园建设成最安全、最阳光的地方，办好人民满意的教育，为培养德智体美全面发展的社会主义建设者和接班人创造良好条件。</w:t>
      </w:r>
    </w:p>
    <w:p>
      <w:pPr>
        <w:spacing w:line="580" w:lineRule="exact"/>
        <w:rPr>
          <w:rFonts w:hint="eastAsia" w:ascii="黑体" w:hAnsi="黑体" w:eastAsia="黑体" w:cs="黑体"/>
          <w:b/>
          <w:bCs/>
          <w:color w:val="000000"/>
          <w:szCs w:val="32"/>
        </w:rPr>
      </w:pPr>
      <w:r>
        <w:rPr>
          <w:rFonts w:hint="eastAsia" w:ascii="黑体" w:hAnsi="黑体" w:eastAsia="黑体" w:cs="黑体"/>
          <w:color w:val="000000"/>
          <w:szCs w:val="32"/>
        </w:rPr>
        <w:t>　　</w:t>
      </w:r>
      <w:r>
        <w:rPr>
          <w:rFonts w:hint="eastAsia" w:ascii="黑体" w:hAnsi="黑体" w:eastAsia="黑体" w:cs="黑体"/>
          <w:b/>
          <w:bCs/>
          <w:color w:val="000000"/>
          <w:szCs w:val="32"/>
        </w:rPr>
        <w:t>二、准确把握《方案》提出加强中小学生欺凌综合治理工作的基本原则</w:t>
      </w:r>
    </w:p>
    <w:p>
      <w:pPr>
        <w:spacing w:line="580" w:lineRule="exact"/>
        <w:rPr>
          <w:rFonts w:hAnsi="仿宋"/>
          <w:color w:val="000000"/>
          <w:szCs w:val="32"/>
        </w:rPr>
      </w:pPr>
      <w:r>
        <w:rPr>
          <w:rFonts w:hint="eastAsia" w:hAnsi="仿宋"/>
          <w:color w:val="000000"/>
          <w:szCs w:val="32"/>
        </w:rPr>
        <w:t>　　（一）坚持教育为先。深入开展中小学生思想道德教育、法治教育、心理健康教育，促进提高人民群众的思想觉悟、道德水准、文明素养，提高全社会文明程度，特别要加强防治学生欺凌专题教育，培养校长、教师、学生及家长等不同群体积极预防和自觉反对学生欺凌的意识。</w:t>
      </w:r>
    </w:p>
    <w:p>
      <w:pPr>
        <w:spacing w:line="580" w:lineRule="exact"/>
        <w:rPr>
          <w:rFonts w:hAnsi="仿宋"/>
          <w:color w:val="000000"/>
          <w:szCs w:val="32"/>
        </w:rPr>
      </w:pPr>
      <w:r>
        <w:rPr>
          <w:rFonts w:hint="eastAsia" w:hAnsi="仿宋"/>
          <w:color w:val="000000"/>
          <w:szCs w:val="32"/>
        </w:rPr>
        <w:t>　　（二）坚持预防为主。完善有关规章制度，及时排查可能导致学生欺凌事件发生的苗头隐患，强化学校及周边日常安全管理，加强欺凌事件易发现场监管，完善学生寻求帮助的维权渠道。</w:t>
      </w:r>
    </w:p>
    <w:p>
      <w:pPr>
        <w:spacing w:line="580" w:lineRule="exact"/>
        <w:rPr>
          <w:rFonts w:hAnsi="仿宋"/>
          <w:color w:val="000000"/>
          <w:szCs w:val="32"/>
        </w:rPr>
      </w:pPr>
      <w:r>
        <w:rPr>
          <w:rFonts w:hint="eastAsia" w:hAnsi="仿宋"/>
          <w:color w:val="000000"/>
          <w:szCs w:val="32"/>
        </w:rPr>
        <w:t>　　（三）坚持保护为要。切实保障学生的合法权益，严格保护学生隐私，尊重学生的人格尊严。切实保护被欺凌学生的身心建康，防止二次伤害发生，帮助被欺凌学生尽早恢复正常的学习生活。</w:t>
      </w:r>
    </w:p>
    <w:p>
      <w:pPr>
        <w:spacing w:line="580" w:lineRule="exact"/>
        <w:rPr>
          <w:rFonts w:hAnsi="仿宋"/>
          <w:color w:val="000000"/>
          <w:szCs w:val="32"/>
        </w:rPr>
      </w:pPr>
      <w:r>
        <w:rPr>
          <w:rFonts w:hint="eastAsia" w:hAnsi="仿宋"/>
          <w:color w:val="000000"/>
          <w:szCs w:val="32"/>
        </w:rPr>
        <w:t>　　（四）坚持法治为基。按照全面依法治国的要求，依法依规处置学生欺凌事件，按照“宽容不纵容、关爱又严管”的原则，对实施欺凌的学生予以必要的处置及惩戒，及时纠正不当行为。</w:t>
      </w:r>
    </w:p>
    <w:p>
      <w:pPr>
        <w:spacing w:line="580" w:lineRule="exact"/>
        <w:rPr>
          <w:rFonts w:hint="eastAsia" w:ascii="黑体" w:hAnsi="黑体" w:eastAsia="黑体" w:cs="黑体"/>
          <w:b/>
          <w:bCs/>
          <w:color w:val="000000"/>
          <w:szCs w:val="32"/>
        </w:rPr>
      </w:pPr>
      <w:r>
        <w:rPr>
          <w:rFonts w:hint="eastAsia" w:ascii="黑体" w:hAnsi="黑体" w:eastAsia="黑体" w:cs="黑体"/>
          <w:color w:val="000000"/>
          <w:szCs w:val="32"/>
        </w:rPr>
        <w:t>　</w:t>
      </w:r>
      <w:r>
        <w:rPr>
          <w:rFonts w:hint="eastAsia" w:ascii="黑体" w:hAnsi="黑体" w:eastAsia="黑体" w:cs="黑体"/>
          <w:b/>
          <w:bCs/>
          <w:color w:val="000000"/>
          <w:szCs w:val="32"/>
        </w:rPr>
        <w:t>　三、明确《方案》提出加强中小学生欺凌综合治理工作的治理内容，落实《方案》提出的各项措施</w:t>
      </w:r>
    </w:p>
    <w:p>
      <w:pPr>
        <w:spacing w:line="580" w:lineRule="exact"/>
        <w:rPr>
          <w:rFonts w:hAnsi="仿宋"/>
          <w:color w:val="000000"/>
          <w:szCs w:val="32"/>
        </w:rPr>
      </w:pPr>
      <w:r>
        <w:rPr>
          <w:rFonts w:hint="eastAsia" w:hAnsi="仿宋"/>
          <w:color w:val="000000"/>
          <w:szCs w:val="32"/>
        </w:rPr>
        <w:t>　</w:t>
      </w:r>
      <w:r>
        <w:rPr>
          <w:rFonts w:hint="eastAsia" w:hAnsi="仿宋"/>
          <w:b/>
          <w:bCs/>
          <w:color w:val="000000"/>
          <w:szCs w:val="32"/>
        </w:rPr>
        <w:t>　（一）明确学生欺凌的界定</w:t>
      </w:r>
    </w:p>
    <w:p>
      <w:pPr>
        <w:spacing w:line="580" w:lineRule="exact"/>
        <w:rPr>
          <w:rFonts w:hAnsi="仿宋"/>
          <w:color w:val="000000"/>
          <w:szCs w:val="32"/>
        </w:rPr>
      </w:pPr>
      <w:r>
        <w:rPr>
          <w:rFonts w:hint="eastAsia" w:hAnsi="仿宋"/>
          <w:color w:val="000000"/>
          <w:szCs w:val="32"/>
        </w:rPr>
        <w:t>　　中小学生欺凌是发生在校园（包括中小学校和中等职业学校）内外、学生之间，一方（个体或群体）单次或多次蓄意或恶意通过肢体、语言及网络等手段实施欺负、侮辱，造成另一方（个体或群体）身体伤害、财产损失或精神损害等的事件。</w:t>
      </w:r>
    </w:p>
    <w:p>
      <w:pPr>
        <w:spacing w:line="580" w:lineRule="exact"/>
        <w:ind w:firstLine="660"/>
        <w:rPr>
          <w:rFonts w:hAnsi="仿宋"/>
          <w:color w:val="000000"/>
          <w:szCs w:val="32"/>
        </w:rPr>
      </w:pPr>
      <w:r>
        <w:rPr>
          <w:rFonts w:hint="eastAsia" w:hAnsi="仿宋"/>
          <w:color w:val="000000"/>
          <w:szCs w:val="32"/>
        </w:rPr>
        <w:t>在实际工作中，要严格区分学生欺凌与学生间打闹嬉戏的界定，正确合理处理。（责任部门：教育行政部门、综治部门、人民法院、人民检察院、公安机关、民政部门、司法行政部门、人力资源社会保障部门、共青团组织、妇联组织、残联组织，各中小学校）</w:t>
      </w:r>
    </w:p>
    <w:p>
      <w:pPr>
        <w:spacing w:line="580" w:lineRule="exact"/>
        <w:rPr>
          <w:rFonts w:hAnsi="仿宋"/>
          <w:b/>
          <w:bCs/>
          <w:color w:val="000000"/>
          <w:szCs w:val="32"/>
        </w:rPr>
      </w:pPr>
      <w:r>
        <w:rPr>
          <w:rFonts w:hint="eastAsia" w:hAnsi="仿宋"/>
          <w:color w:val="000000"/>
          <w:szCs w:val="32"/>
        </w:rPr>
        <w:t>　</w:t>
      </w:r>
      <w:r>
        <w:rPr>
          <w:rFonts w:hint="eastAsia" w:hAnsi="仿宋"/>
          <w:b/>
          <w:bCs/>
          <w:color w:val="000000"/>
          <w:szCs w:val="32"/>
        </w:rPr>
        <w:t>　（二）建立健全防治学生欺凌工作协调机制</w:t>
      </w:r>
    </w:p>
    <w:p>
      <w:pPr>
        <w:spacing w:line="580" w:lineRule="exact"/>
        <w:ind w:firstLine="660"/>
        <w:rPr>
          <w:rFonts w:hAnsi="仿宋"/>
          <w:color w:val="000000"/>
          <w:szCs w:val="32"/>
        </w:rPr>
      </w:pPr>
      <w:r>
        <w:rPr>
          <w:rFonts w:hint="eastAsia" w:hAnsi="仿宋"/>
          <w:color w:val="000000"/>
          <w:szCs w:val="32"/>
        </w:rPr>
        <w:t>要组织协调有关部门、群团组织，建立健全防治学生欺凌工作协调机制，统筹推进学生欺凌治理工作，妥善处理学生欺凌重大事件，正确引导媒体和网络舆情。教育行政（主管）部门和学校要重点抓好校园内欺凌事件的预防和处置；各部门要加强协作，综合治理，做好校园外欺凌事件的预防和处置。（责任部门：教育行政部门、综治部门、人民法院、人民检察院、公安机关、民政部门、司法行政部门、人力资源社会保障部门、共青团组织、妇联组织、残联组织，各中小学校）</w:t>
      </w:r>
    </w:p>
    <w:p>
      <w:pPr>
        <w:spacing w:line="580" w:lineRule="exact"/>
        <w:rPr>
          <w:rFonts w:hAnsi="仿宋"/>
          <w:color w:val="000000"/>
          <w:szCs w:val="32"/>
        </w:rPr>
      </w:pPr>
      <w:r>
        <w:rPr>
          <w:rFonts w:hint="eastAsia" w:hAnsi="仿宋"/>
          <w:color w:val="000000"/>
          <w:szCs w:val="32"/>
        </w:rPr>
        <w:t>　</w:t>
      </w:r>
      <w:r>
        <w:rPr>
          <w:rFonts w:hint="eastAsia" w:hAnsi="仿宋"/>
          <w:b/>
          <w:bCs/>
          <w:color w:val="000000"/>
          <w:szCs w:val="32"/>
        </w:rPr>
        <w:t>　（三）积极有效预防</w:t>
      </w:r>
    </w:p>
    <w:p>
      <w:pPr>
        <w:spacing w:line="580" w:lineRule="exact"/>
        <w:ind w:firstLine="645"/>
        <w:rPr>
          <w:rFonts w:hAnsi="仿宋"/>
          <w:color w:val="000000"/>
          <w:szCs w:val="32"/>
        </w:rPr>
      </w:pPr>
      <w:r>
        <w:rPr>
          <w:rFonts w:hAnsi="仿宋"/>
          <w:color w:val="000000"/>
          <w:szCs w:val="32"/>
        </w:rPr>
        <w:t>1.</w:t>
      </w:r>
      <w:r>
        <w:rPr>
          <w:rFonts w:hint="eastAsia" w:hAnsi="仿宋"/>
          <w:color w:val="000000"/>
          <w:szCs w:val="32"/>
        </w:rPr>
        <w:t>指导学校切实加强教育。中小学校要通过每学期开学时集中开展教育、学期中在道德与法治等课程中专门设置教学模块等方式，定期对中小学生进行学生欺凌防治专题教育。学校共青团、少先队组织要配合学校开展好法治宣传教育、安全自护教育。（责任部门：各中小学校，教育行政部门、司法行政部门、人力资源社会保障部门、共青团组织）</w:t>
      </w:r>
    </w:p>
    <w:p>
      <w:pPr>
        <w:spacing w:line="580" w:lineRule="exact"/>
        <w:ind w:firstLine="645"/>
        <w:rPr>
          <w:rFonts w:hAnsi="仿宋"/>
          <w:color w:val="000000"/>
          <w:szCs w:val="32"/>
        </w:rPr>
      </w:pPr>
      <w:r>
        <w:rPr>
          <w:rFonts w:hAnsi="仿宋"/>
          <w:color w:val="000000"/>
          <w:szCs w:val="32"/>
        </w:rPr>
        <w:t>2.</w:t>
      </w:r>
      <w:r>
        <w:rPr>
          <w:rFonts w:hint="eastAsia" w:hAnsi="仿宋"/>
          <w:color w:val="000000"/>
          <w:szCs w:val="32"/>
        </w:rPr>
        <w:t>组织开展家长培训。通过组织学校或社区定期开展专题培训课等方式，加强家长培训，引导广大家长增强法治意识，落实监护责任，帮助家长了解防治学生欺凌知识。（责任部门：各中小学校，教育行政部门、人力资源社会保障部门、妇联组织）</w:t>
      </w:r>
    </w:p>
    <w:p>
      <w:pPr>
        <w:spacing w:line="580" w:lineRule="exact"/>
        <w:ind w:firstLine="645"/>
        <w:rPr>
          <w:rFonts w:hAnsi="仿宋"/>
          <w:color w:val="000000"/>
          <w:szCs w:val="32"/>
        </w:rPr>
      </w:pPr>
      <w:r>
        <w:rPr>
          <w:rFonts w:hAnsi="仿宋"/>
          <w:color w:val="000000"/>
          <w:szCs w:val="32"/>
        </w:rPr>
        <w:t>3.</w:t>
      </w:r>
      <w:r>
        <w:rPr>
          <w:rFonts w:hint="eastAsia" w:hAnsi="仿宋"/>
          <w:color w:val="000000"/>
          <w:szCs w:val="32"/>
        </w:rPr>
        <w:t>严格学校日常管理。学校根据实际成立由校长负责，教师、少先队大中队辅导员、教职工、社区工作者和家长代表、校外专家等人员组成的学生欺凌治理委员会（高中阶段学校还应吸纳学生代表）。加快推进将校园视频监控系统、紧急报警装置等接入公安机关、教育部门监控和报警平台，逐步建立校园安全网上巡查机制。学校要制定防治学生欺凌工作各项规章制度的工作要求，主要包括：相关岗位教职工防治学生欺凌的职责、学生欺凌事件应急处置预案、学生欺凌的早期预警和事中处理及事后干预的具体流程、校规校纪中对实施欺凌学生的处罚规定等。（责任部门：各中小学校，教育行政部门、人力资源社会保障部门，公安机关）</w:t>
      </w:r>
    </w:p>
    <w:p>
      <w:pPr>
        <w:spacing w:line="580" w:lineRule="exact"/>
        <w:ind w:firstLine="645"/>
        <w:rPr>
          <w:rFonts w:hAnsi="仿宋"/>
          <w:color w:val="000000"/>
          <w:szCs w:val="32"/>
        </w:rPr>
      </w:pPr>
      <w:r>
        <w:rPr>
          <w:rFonts w:hAnsi="仿宋"/>
          <w:color w:val="000000"/>
          <w:szCs w:val="32"/>
        </w:rPr>
        <w:t>4.</w:t>
      </w:r>
      <w:r>
        <w:rPr>
          <w:rFonts w:hint="eastAsia" w:hAnsi="仿宋"/>
          <w:color w:val="000000"/>
          <w:szCs w:val="32"/>
        </w:rPr>
        <w:t>定期开展排查。教育行政部门要通过委托专业第三方机构或组织学校开展等方式，定期开展针对全体学生的防治学生欺凌专项调查，及时查找可能发生欺凌事件的苗头迹象或已经发生、正在发生的欺凌事件。（责任部门：教育行政部门、人力资源社会保障部门，各中小学校）</w:t>
      </w:r>
    </w:p>
    <w:p>
      <w:pPr>
        <w:spacing w:line="580" w:lineRule="exact"/>
        <w:rPr>
          <w:rFonts w:hAnsi="仿宋"/>
          <w:color w:val="000000"/>
          <w:szCs w:val="32"/>
        </w:rPr>
      </w:pPr>
      <w:r>
        <w:rPr>
          <w:rFonts w:hint="eastAsia" w:hAnsi="仿宋"/>
          <w:color w:val="000000"/>
          <w:szCs w:val="32"/>
        </w:rPr>
        <w:t>　　</w:t>
      </w:r>
      <w:r>
        <w:rPr>
          <w:rFonts w:hint="eastAsia" w:hAnsi="仿宋"/>
          <w:b/>
          <w:bCs/>
          <w:color w:val="000000"/>
          <w:szCs w:val="32"/>
        </w:rPr>
        <w:t>（四）依法依规处置</w:t>
      </w:r>
    </w:p>
    <w:p>
      <w:pPr>
        <w:spacing w:line="580" w:lineRule="exact"/>
        <w:ind w:firstLine="645"/>
        <w:rPr>
          <w:rFonts w:hAnsi="仿宋"/>
          <w:color w:val="000000"/>
          <w:szCs w:val="32"/>
        </w:rPr>
      </w:pPr>
      <w:r>
        <w:rPr>
          <w:rFonts w:hAnsi="仿宋"/>
          <w:color w:val="000000"/>
          <w:szCs w:val="32"/>
        </w:rPr>
        <w:t>1.</w:t>
      </w:r>
      <w:r>
        <w:rPr>
          <w:rFonts w:hint="eastAsia" w:hAnsi="仿宋"/>
          <w:color w:val="000000"/>
          <w:szCs w:val="32"/>
        </w:rPr>
        <w:t>严格规范调查处理。学生欺凌事件的处置以学校为主。教职工发现、学生或者家长向学校举报的，应当按照学校的学生欺凌事件应急处置预案和处理流程对事件及时进行调查处理，由学校学生欺凌治理委员会对事件是否属于学生欺凌行为进行认定。原则上学校应在启动调查处理程序</w:t>
      </w:r>
      <w:r>
        <w:rPr>
          <w:rFonts w:hAnsi="仿宋"/>
          <w:color w:val="000000"/>
          <w:szCs w:val="32"/>
        </w:rPr>
        <w:t>10</w:t>
      </w:r>
      <w:r>
        <w:rPr>
          <w:rFonts w:hint="eastAsia" w:hAnsi="仿宋"/>
          <w:color w:val="000000"/>
          <w:szCs w:val="32"/>
        </w:rPr>
        <w:t>日内完成调查，根据有关规定处置。（责任部门：各中小学校）</w:t>
      </w:r>
    </w:p>
    <w:p>
      <w:pPr>
        <w:spacing w:line="580" w:lineRule="exact"/>
        <w:ind w:firstLine="645"/>
        <w:rPr>
          <w:rFonts w:hAnsi="仿宋"/>
          <w:color w:val="000000"/>
          <w:szCs w:val="32"/>
        </w:rPr>
      </w:pPr>
      <w:r>
        <w:rPr>
          <w:rFonts w:hAnsi="仿宋"/>
          <w:color w:val="000000"/>
          <w:szCs w:val="32"/>
        </w:rPr>
        <w:t>2.</w:t>
      </w:r>
      <w:r>
        <w:rPr>
          <w:rFonts w:hint="eastAsia" w:hAnsi="仿宋"/>
          <w:color w:val="000000"/>
          <w:szCs w:val="32"/>
        </w:rPr>
        <w:t>妥善处理申诉请求。教育行政部门要明确具体负责防治学生欺凌工作的科室并向社会公布。防治学生欺凌工作部门负责处理学生欺凌事件的申诉请求。学校学生欺凌治理委员会处理程序妥当、事件比较清晰的，应以学校学生欺凌治理委员会的处理结果为准；确需复查的，由县防治学生欺凌工作部门组织学校代表、家长代表和校外专家等组成调查小组启动复查。复查工作应在</w:t>
      </w:r>
      <w:r>
        <w:rPr>
          <w:rFonts w:hAnsi="仿宋"/>
          <w:color w:val="000000"/>
          <w:szCs w:val="32"/>
        </w:rPr>
        <w:t>15</w:t>
      </w:r>
      <w:r>
        <w:rPr>
          <w:rFonts w:hint="eastAsia" w:hAnsi="仿宋"/>
          <w:color w:val="000000"/>
          <w:szCs w:val="32"/>
        </w:rPr>
        <w:t>日内完成，对事件是否属于学生欺凌进行认定，提出处置意见并通知学校和家长、学生。（责任部门：教育行政部门、人力资源社会保障部门）</w:t>
      </w:r>
    </w:p>
    <w:p>
      <w:pPr>
        <w:spacing w:line="580" w:lineRule="exact"/>
        <w:ind w:firstLine="660"/>
        <w:rPr>
          <w:rFonts w:hAnsi="仿宋"/>
          <w:color w:val="000000"/>
          <w:szCs w:val="32"/>
        </w:rPr>
      </w:pPr>
      <w:r>
        <w:rPr>
          <w:rFonts w:hint="eastAsia" w:hAnsi="仿宋"/>
          <w:color w:val="000000"/>
          <w:szCs w:val="32"/>
        </w:rPr>
        <w:t>县级防治学生欺凌工作部门接受申诉请求并启动复查程序的，应在复查工作结束后，及时将有关情况报上级防治学生欺凌工作部门备案。涉法涉诉案件等不宜由防治学生欺凌工作部门受理的，应明确告知当事人，引导其及时纳入相应法律程序办理。（责任部门：教育行政部门、人力资源社会保障部门）</w:t>
      </w:r>
    </w:p>
    <w:p>
      <w:pPr>
        <w:spacing w:line="580" w:lineRule="exact"/>
        <w:ind w:firstLine="645"/>
        <w:rPr>
          <w:rFonts w:hAnsi="仿宋"/>
          <w:color w:val="000000"/>
          <w:szCs w:val="32"/>
        </w:rPr>
      </w:pPr>
      <w:r>
        <w:rPr>
          <w:rFonts w:hAnsi="仿宋"/>
          <w:color w:val="000000"/>
          <w:szCs w:val="32"/>
        </w:rPr>
        <w:t>3.</w:t>
      </w:r>
      <w:r>
        <w:rPr>
          <w:rFonts w:hint="eastAsia" w:hAnsi="仿宋"/>
          <w:color w:val="000000"/>
          <w:szCs w:val="32"/>
        </w:rPr>
        <w:t>强化教育惩戒作用。对经调查认定实施欺凌的学生，学校学生欺凌治理委员会要根据实际情况，制定一定学时的专门教育方案并监督实施欺凌学生按要求接受教育，同时针对欺凌事件的不同情形予以相应惩戒。（责任部门：各中小学校）</w:t>
      </w:r>
    </w:p>
    <w:p>
      <w:pPr>
        <w:spacing w:line="580" w:lineRule="exact"/>
        <w:ind w:firstLine="645"/>
        <w:rPr>
          <w:rFonts w:hAnsi="仿宋"/>
          <w:color w:val="000000"/>
          <w:szCs w:val="32"/>
        </w:rPr>
      </w:pPr>
      <w:r>
        <w:rPr>
          <w:rFonts w:hint="eastAsia" w:hAnsi="仿宋"/>
          <w:color w:val="000000"/>
          <w:szCs w:val="32"/>
        </w:rPr>
        <w:t>情节轻微的一般欺凌事件，由学校对实施欺凌学生开展批评、教育。实施欺凌学生应向被欺凌学生当面或书面道歉，取得谅解。对于反复发生的一般欺凌事件，学校在对实施欺凌学生开展批评、教育的同时，可视具体情节和危害程度给予纪律处分。（责任部门：各中小学校）</w:t>
      </w:r>
    </w:p>
    <w:p>
      <w:pPr>
        <w:spacing w:line="580" w:lineRule="exact"/>
        <w:ind w:firstLine="660"/>
        <w:rPr>
          <w:rFonts w:hAnsi="仿宋"/>
          <w:color w:val="000000"/>
          <w:szCs w:val="32"/>
        </w:rPr>
      </w:pPr>
      <w:r>
        <w:rPr>
          <w:rFonts w:hint="eastAsia" w:hAnsi="仿宋"/>
          <w:color w:val="000000"/>
          <w:szCs w:val="32"/>
        </w:rPr>
        <w:t>情节比较恶劣、对被欺凌学生身体和心理造成明显伤害的严重欺凌事件，学校对实施欺凌学生开展批评、教育的同时，可邀请公安机关参与警示教育或对实施欺凌学生予以训诫，公安机关根据学校邀请及时安排人员，保证警示教育工作有效开展。学校可视具体情节和危害程度给予实施欺凌学生纪律处分，将其表现记入学生综合素质评价。（责任部门：各中小学校，教育行政部门、人力资源社会保障部门，公安机关）</w:t>
      </w:r>
    </w:p>
    <w:p>
      <w:pPr>
        <w:spacing w:line="580" w:lineRule="exact"/>
        <w:ind w:firstLine="660"/>
        <w:rPr>
          <w:rFonts w:hAnsi="仿宋"/>
          <w:color w:val="000000"/>
          <w:szCs w:val="32"/>
        </w:rPr>
      </w:pPr>
      <w:r>
        <w:rPr>
          <w:rFonts w:hint="eastAsia" w:hAnsi="仿宋"/>
          <w:color w:val="000000"/>
          <w:szCs w:val="32"/>
        </w:rPr>
        <w:t>屡教不改或者情节恶劣的严重欺凌事件，必要时可将实施欺凌学生转送专门（工读）学校进行教育。未成年人送专门（工读）学校进行矫治和接受教育，应当按照《中华人民共和国预防未成年人犯罪法》有关规定，对构成有严重不良行为的，按专门（工读）学校招生入学程序报有关部门批准。（责任部门：各中小学校，市、教育行政部门、人力资源社会保障部门，公安机关）</w:t>
      </w:r>
    </w:p>
    <w:p>
      <w:pPr>
        <w:spacing w:line="580" w:lineRule="exact"/>
        <w:rPr>
          <w:rFonts w:hAnsi="仿宋"/>
          <w:color w:val="000000"/>
          <w:szCs w:val="32"/>
        </w:rPr>
      </w:pPr>
      <w:r>
        <w:rPr>
          <w:rFonts w:hint="eastAsia" w:hAnsi="仿宋"/>
          <w:color w:val="000000"/>
          <w:szCs w:val="32"/>
        </w:rPr>
        <w:t>　　涉及违反治安管理或者涉嫌犯罪的学生欺凌事件，处置以公安机关、人民法院、人民检察院为主。教育行政部门和学校要及时联络公安机关依法处置。各级公安、人民法院、人民检察院依法办理学生欺凌犯罪案件，做好相关侦查、审查逮捕、审查起诉、诉讼监督和审判等工作。对有违法犯罪行为的学生，要区别不同情况，责令其父母或者其他监护人严加管教。对依法应承担行政、刑事责任的，要做好个别矫治和分类教育，依法利用拘留所、看守所、未成年犯管教所、社区矫正机构等场所开展必要的教育矫治；对依法不予行政、刑事处罚的学生，学校要给予纪律处分，非义务教育阶段学校可视具体情节和危害程度给予留校察看、勒令退学、开除等处分，必要时可按照有关规定将其送专门（工读）学校。对校外成年人采取教唆、胁迫、诱骗等方式利用在校学生实施欺凌进行违法犯罪行为的，要根据《中华人民共和国刑法》及有关法律规定，对教唆未成年人犯罪的依法从重处罚。（责任部门：教育行政部门、人民法院、人民检察院、司法行政部门、人力资源社会保障部门，公安机关，各中小学校）</w:t>
      </w:r>
    </w:p>
    <w:p>
      <w:pPr>
        <w:spacing w:line="580" w:lineRule="exact"/>
        <w:rPr>
          <w:rFonts w:hAnsi="仿宋"/>
          <w:color w:val="000000"/>
          <w:szCs w:val="32"/>
        </w:rPr>
      </w:pPr>
      <w:r>
        <w:rPr>
          <w:rFonts w:hint="eastAsia" w:hAnsi="仿宋"/>
          <w:color w:val="000000"/>
          <w:szCs w:val="32"/>
        </w:rPr>
        <w:t>　</w:t>
      </w:r>
      <w:r>
        <w:rPr>
          <w:rFonts w:hint="eastAsia" w:hAnsi="仿宋"/>
          <w:b/>
          <w:bCs/>
          <w:color w:val="000000"/>
          <w:szCs w:val="32"/>
        </w:rPr>
        <w:t>　（五）建立长效机制</w:t>
      </w:r>
    </w:p>
    <w:p>
      <w:pPr>
        <w:spacing w:line="580" w:lineRule="exact"/>
        <w:rPr>
          <w:rFonts w:hAnsi="仿宋"/>
          <w:color w:val="000000"/>
          <w:szCs w:val="32"/>
        </w:rPr>
      </w:pPr>
      <w:r>
        <w:rPr>
          <w:rFonts w:hint="eastAsia" w:hAnsi="仿宋"/>
          <w:color w:val="000000"/>
          <w:szCs w:val="32"/>
        </w:rPr>
        <w:t>　　各有关部门要加强制度建设，积极探索创新，逐步建立具有长效性、稳定性和约束力的防治学生欺凌工作机制。</w:t>
      </w:r>
    </w:p>
    <w:p>
      <w:pPr>
        <w:spacing w:line="580" w:lineRule="exact"/>
        <w:rPr>
          <w:rFonts w:hAnsi="仿宋"/>
          <w:color w:val="000000"/>
          <w:szCs w:val="32"/>
        </w:rPr>
      </w:pPr>
      <w:r>
        <w:rPr>
          <w:rFonts w:hint="eastAsia" w:hAnsi="仿宋"/>
          <w:color w:val="000000"/>
          <w:szCs w:val="32"/>
        </w:rPr>
        <w:t>　　</w:t>
      </w:r>
      <w:r>
        <w:rPr>
          <w:rFonts w:hAnsi="仿宋"/>
          <w:color w:val="000000"/>
          <w:szCs w:val="32"/>
        </w:rPr>
        <w:t>1.</w:t>
      </w:r>
      <w:r>
        <w:rPr>
          <w:rFonts w:hint="eastAsia" w:hAnsi="仿宋"/>
          <w:color w:val="000000"/>
          <w:szCs w:val="32"/>
        </w:rPr>
        <w:t>完善培训机制。明确将防治学生欺凌专题培训纳入教育行政干部和校长、教师在职培训内容。县级教育行政部门分管负责同志和具体工作人员每年应当接受必要的学生欺凌预防与处置专题面授培训。中小学校长、学校行政管理人员、班主任和教师等培训中应当增加学生欺凌预防与处置专题面授的内容。培训纳入相关人员继续教育学分。（责任部门：教育行政部门、人力资源社会保障部门，各中小学校）</w:t>
      </w:r>
    </w:p>
    <w:p>
      <w:pPr>
        <w:spacing w:line="580" w:lineRule="exact"/>
        <w:rPr>
          <w:rFonts w:hAnsi="仿宋"/>
          <w:color w:val="000000"/>
          <w:szCs w:val="32"/>
        </w:rPr>
      </w:pPr>
      <w:r>
        <w:rPr>
          <w:rFonts w:hint="eastAsia" w:hAnsi="仿宋"/>
          <w:color w:val="000000"/>
          <w:szCs w:val="32"/>
        </w:rPr>
        <w:t>　　</w:t>
      </w:r>
      <w:r>
        <w:rPr>
          <w:rFonts w:hAnsi="仿宋"/>
          <w:color w:val="000000"/>
          <w:szCs w:val="32"/>
        </w:rPr>
        <w:t>2.</w:t>
      </w:r>
      <w:r>
        <w:rPr>
          <w:rFonts w:hint="eastAsia" w:hAnsi="仿宋"/>
          <w:color w:val="000000"/>
          <w:szCs w:val="32"/>
        </w:rPr>
        <w:t>建立考评机制。将本区域学生欺凌综合治理工作情况作为考评内容，纳入文明校园创建标准，纳入相关部门负责同志年度考评，纳入校长学期和学年考评，纳入学校行政管理人员、教师、班主任及相关岗位教职工学期和学年考评。（责任部门：教育行政部门、综治部门、人力资源社会保障部门，各中小学校）</w:t>
      </w:r>
    </w:p>
    <w:p>
      <w:pPr>
        <w:spacing w:line="580" w:lineRule="exact"/>
        <w:rPr>
          <w:rFonts w:hAnsi="仿宋"/>
          <w:color w:val="000000"/>
          <w:szCs w:val="32"/>
        </w:rPr>
      </w:pPr>
      <w:r>
        <w:rPr>
          <w:rFonts w:hint="eastAsia" w:hAnsi="仿宋"/>
          <w:color w:val="000000"/>
          <w:szCs w:val="32"/>
        </w:rPr>
        <w:t>　　</w:t>
      </w:r>
      <w:r>
        <w:rPr>
          <w:rFonts w:hAnsi="仿宋"/>
          <w:color w:val="000000"/>
          <w:szCs w:val="32"/>
        </w:rPr>
        <w:t>3.</w:t>
      </w:r>
      <w:r>
        <w:rPr>
          <w:rFonts w:hint="eastAsia" w:hAnsi="仿宋"/>
          <w:color w:val="000000"/>
          <w:szCs w:val="32"/>
        </w:rPr>
        <w:t>建立问责处理机制。把防治学生欺凌工作专项督导结果作为评价政府教育工作成效的重要内容。对职责落实不到位、学生欺凌问题突出的学校通过通报、约谈、挂牌督办、实施一票否决权制等方式进行综治领导责任追究。学生欺凌事件中存在失职渎职行为，因违纪违法应当承担责任的，给予党纪政纪处分；构成犯罪的，依法追究刑事责任。（责任部门：教育督导部门、教育行政部门、综治部门、人力资源社会保障部门，各中小学校）</w:t>
      </w:r>
    </w:p>
    <w:p>
      <w:pPr>
        <w:spacing w:line="580" w:lineRule="exact"/>
        <w:rPr>
          <w:rFonts w:hAnsi="仿宋"/>
          <w:color w:val="000000"/>
          <w:szCs w:val="32"/>
        </w:rPr>
      </w:pPr>
      <w:r>
        <w:rPr>
          <w:rFonts w:hint="eastAsia" w:hAnsi="仿宋"/>
          <w:color w:val="000000"/>
          <w:szCs w:val="32"/>
        </w:rPr>
        <w:t>　　</w:t>
      </w:r>
      <w:r>
        <w:rPr>
          <w:rFonts w:hAnsi="仿宋"/>
          <w:color w:val="000000"/>
          <w:szCs w:val="32"/>
        </w:rPr>
        <w:t>4.</w:t>
      </w:r>
      <w:r>
        <w:rPr>
          <w:rFonts w:hint="eastAsia" w:hAnsi="仿宋"/>
          <w:color w:val="000000"/>
          <w:szCs w:val="32"/>
        </w:rPr>
        <w:t>健全依法治理机制。建立健全中小学校法制副校长或法制辅导员制度，明确法制副校长或法制辅导员防治学生欺凌的具体职责和工作流程，把防治学生欺凌作为依法治校工作的重要内容，积极主动开展以防治学生欺凌为主题的法治教育，推进学校在规章制度中补充完善防治学生欺凌内容，落实各项预防和处置学生欺凌措施，配合有关部门妥善处理学生欺凌事件及对实施欺凌学生进行教育。（责任部门：各中小学校，</w:t>
      </w:r>
      <w:bookmarkStart w:id="0" w:name="_GoBack"/>
      <w:bookmarkEnd w:id="0"/>
      <w:r>
        <w:rPr>
          <w:rFonts w:hint="eastAsia" w:hAnsi="仿宋"/>
          <w:color w:val="000000"/>
          <w:szCs w:val="32"/>
        </w:rPr>
        <w:t>教育行政部门、人力资源社会保障部门）</w:t>
      </w:r>
    </w:p>
    <w:p>
      <w:pPr>
        <w:spacing w:line="580" w:lineRule="exact"/>
        <w:rPr>
          <w:rFonts w:hAnsi="仿宋"/>
          <w:b/>
          <w:bCs/>
          <w:color w:val="000000"/>
          <w:szCs w:val="32"/>
        </w:rPr>
      </w:pPr>
      <w:r>
        <w:rPr>
          <w:rFonts w:hint="eastAsia" w:hAnsi="仿宋"/>
          <w:color w:val="000000"/>
          <w:szCs w:val="32"/>
        </w:rPr>
        <w:t>　　</w:t>
      </w:r>
      <w:r>
        <w:rPr>
          <w:rFonts w:hint="eastAsia" w:ascii="黑体" w:hAnsi="黑体" w:eastAsia="黑体" w:cs="黑体"/>
          <w:b/>
          <w:bCs/>
          <w:color w:val="000000"/>
          <w:szCs w:val="32"/>
        </w:rPr>
        <w:t xml:space="preserve">四、明确并落实各部门职责分工 </w:t>
      </w:r>
    </w:p>
    <w:p>
      <w:pPr>
        <w:spacing w:line="580" w:lineRule="exact"/>
        <w:rPr>
          <w:rFonts w:hAnsi="仿宋"/>
          <w:color w:val="000000"/>
          <w:szCs w:val="32"/>
        </w:rPr>
      </w:pPr>
      <w:r>
        <w:rPr>
          <w:rFonts w:hint="eastAsia" w:hAnsi="仿宋"/>
          <w:color w:val="000000"/>
          <w:szCs w:val="32"/>
        </w:rPr>
        <w:t>　　（一）教育行政部门负责对学生欺凌治理进行组织、指导、协调和监督，牵头做好专门（工读）学校的建设工作，是学生欺凌综合治理的牵头单位。（责任部门：教育行政部门）</w:t>
      </w:r>
    </w:p>
    <w:p>
      <w:pPr>
        <w:spacing w:line="580" w:lineRule="exact"/>
        <w:rPr>
          <w:rFonts w:hAnsi="仿宋"/>
          <w:color w:val="000000"/>
          <w:szCs w:val="32"/>
        </w:rPr>
      </w:pPr>
      <w:r>
        <w:rPr>
          <w:rFonts w:hint="eastAsia" w:hAnsi="仿宋"/>
          <w:color w:val="000000"/>
          <w:szCs w:val="32"/>
        </w:rPr>
        <w:t>　　（二）综治部门负责推动将学生欺凌专项治理纳入社会治安综合治理工作，强化学校周边综合治理，落实社会治安综合治理领导责任制。（责任部门：综治部门）</w:t>
      </w:r>
    </w:p>
    <w:p>
      <w:pPr>
        <w:spacing w:line="580" w:lineRule="exact"/>
        <w:rPr>
          <w:rFonts w:hAnsi="仿宋"/>
          <w:color w:val="000000"/>
          <w:szCs w:val="32"/>
        </w:rPr>
      </w:pPr>
      <w:r>
        <w:rPr>
          <w:rFonts w:hint="eastAsia" w:hAnsi="仿宋"/>
          <w:color w:val="000000"/>
          <w:szCs w:val="32"/>
        </w:rPr>
        <w:t>　　（三）人民法院负责依法妥善审理学生欺凌相关案件，通过庭审厘清学生欺凌案件的民事责任，促进矛盾化解工作；以开展模拟法庭等形式配合学校做好法治宣传工作。（责任部门：人民法院）</w:t>
      </w:r>
    </w:p>
    <w:p>
      <w:pPr>
        <w:spacing w:line="580" w:lineRule="exact"/>
        <w:rPr>
          <w:rFonts w:hAnsi="仿宋"/>
          <w:color w:val="000000"/>
          <w:szCs w:val="32"/>
        </w:rPr>
      </w:pPr>
      <w:r>
        <w:rPr>
          <w:rFonts w:hint="eastAsia" w:hAnsi="仿宋"/>
          <w:color w:val="000000"/>
          <w:szCs w:val="32"/>
        </w:rPr>
        <w:t>　　（四）人民检察院负责依法对学生欺凌案件进行审查逮捕、审查起诉，开展法律监督，并以案释法，积极参与学校法治宣传教育。（责任部门：人民检察院）</w:t>
      </w:r>
    </w:p>
    <w:p>
      <w:pPr>
        <w:spacing w:line="580" w:lineRule="exact"/>
        <w:rPr>
          <w:rFonts w:hAnsi="仿宋"/>
          <w:color w:val="000000"/>
          <w:szCs w:val="32"/>
        </w:rPr>
      </w:pPr>
      <w:r>
        <w:rPr>
          <w:rFonts w:hint="eastAsia" w:hAnsi="仿宋"/>
          <w:color w:val="000000"/>
          <w:szCs w:val="32"/>
        </w:rPr>
        <w:t>　　（五）公安机关负责依法办理学生欺凌违反治安管理和涉嫌犯罪案件，依法处理实施学生欺凌侵害学生权益和身心健康的相关违法犯罪嫌疑人，强化警校联动，指导监督学校全面排查整治校园安全隐患，协助学校开展法治教育，做好法治宣传工作。（责任部门：公安机关）</w:t>
      </w:r>
    </w:p>
    <w:p>
      <w:pPr>
        <w:spacing w:line="580" w:lineRule="exact"/>
        <w:rPr>
          <w:rFonts w:hAnsi="仿宋"/>
          <w:color w:val="000000"/>
          <w:szCs w:val="32"/>
        </w:rPr>
      </w:pPr>
      <w:r>
        <w:rPr>
          <w:rFonts w:hint="eastAsia" w:hAnsi="仿宋"/>
          <w:color w:val="000000"/>
          <w:szCs w:val="32"/>
        </w:rPr>
        <w:t>　　（六）民政部门负责引导社会力量加强对被欺凌学生及其家庭的帮扶救助，协助教育部门组织社会工作者等专业人员为中小学校提供专业辅导，配合有关部门鼓励社会组织参与学生欺凌防治和帮扶工作。（责任部门：民政部门）</w:t>
      </w:r>
    </w:p>
    <w:p>
      <w:pPr>
        <w:spacing w:line="580" w:lineRule="exact"/>
        <w:rPr>
          <w:rFonts w:hAnsi="仿宋"/>
          <w:color w:val="000000"/>
          <w:szCs w:val="32"/>
        </w:rPr>
      </w:pPr>
      <w:r>
        <w:rPr>
          <w:rFonts w:hint="eastAsia" w:hAnsi="仿宋"/>
          <w:color w:val="000000"/>
          <w:szCs w:val="32"/>
        </w:rPr>
        <w:t>　　（七）司法行政部门负责落实未成年人司法保护制度，建立未成年人司法支持体系，指导协调开展以未成年人相关法律法规为重点的法治宣传教育，做好未成年人法律援助和法律服务工作，有效保护未成年人的合法权益。（责任部门：司法行政部门）</w:t>
      </w:r>
    </w:p>
    <w:p>
      <w:pPr>
        <w:spacing w:line="580" w:lineRule="exact"/>
        <w:rPr>
          <w:rFonts w:hAnsi="仿宋"/>
          <w:color w:val="000000"/>
          <w:szCs w:val="32"/>
        </w:rPr>
      </w:pPr>
      <w:r>
        <w:rPr>
          <w:rFonts w:hint="eastAsia" w:hAnsi="仿宋"/>
          <w:color w:val="000000"/>
          <w:szCs w:val="32"/>
        </w:rPr>
        <w:t>　　（八）人力资源社会保障部门负责指导技工学校做好学生欺凌事件的预防和处置工作。（责任部门：人力资源社会保障部门）</w:t>
      </w:r>
    </w:p>
    <w:p>
      <w:pPr>
        <w:spacing w:line="580" w:lineRule="exact"/>
        <w:rPr>
          <w:rFonts w:hAnsi="仿宋"/>
          <w:color w:val="000000"/>
          <w:szCs w:val="32"/>
        </w:rPr>
      </w:pPr>
      <w:r>
        <w:rPr>
          <w:rFonts w:hint="eastAsia" w:hAnsi="仿宋"/>
          <w:color w:val="000000"/>
          <w:szCs w:val="32"/>
        </w:rPr>
        <w:t>　　（九）共青团组织负责切实履行综治委预防青少年违法犯罪专项组组长单位职责，配合教育行政部门并协调推动相关部门，建立预防遏制学生欺凌工作协调机制，积极参与学生欺凌防治工作。（责任部门：共青团组织）</w:t>
      </w:r>
    </w:p>
    <w:p>
      <w:pPr>
        <w:spacing w:line="580" w:lineRule="exact"/>
        <w:rPr>
          <w:rFonts w:hAnsi="仿宋"/>
          <w:color w:val="000000"/>
          <w:szCs w:val="32"/>
        </w:rPr>
      </w:pPr>
      <w:r>
        <w:rPr>
          <w:rFonts w:hint="eastAsia" w:hAnsi="仿宋"/>
          <w:color w:val="000000"/>
          <w:szCs w:val="32"/>
        </w:rPr>
        <w:t>　　（十）妇联组织负责配合有关部门开展预防学生欺凌相关知识的宣传教育，引导家长正确履行监护职责。（责任部门：妇联组织）</w:t>
      </w:r>
    </w:p>
    <w:p>
      <w:pPr>
        <w:spacing w:line="580" w:lineRule="exact"/>
        <w:rPr>
          <w:rFonts w:hAnsi="仿宋"/>
          <w:color w:val="000000"/>
          <w:szCs w:val="32"/>
        </w:rPr>
      </w:pPr>
      <w:r>
        <w:rPr>
          <w:rFonts w:hint="eastAsia" w:hAnsi="仿宋"/>
          <w:color w:val="000000"/>
          <w:szCs w:val="32"/>
        </w:rPr>
        <w:t>　　（十一）残联组织负责积极维护残疾儿童、少年合法权益，配合有关部门做好残疾学生权益保护相关法律法规的宣传教育，切实加强残疾学生遭受欺凌的风险防控，协助提供有关法律服务。（责任部门：残联组织）</w:t>
      </w:r>
    </w:p>
    <w:p>
      <w:pPr>
        <w:spacing w:line="580" w:lineRule="exact"/>
        <w:rPr>
          <w:rFonts w:hAnsi="仿宋"/>
          <w:color w:val="000000"/>
          <w:szCs w:val="32"/>
        </w:rPr>
      </w:pPr>
      <w:r>
        <w:rPr>
          <w:rFonts w:hint="eastAsia" w:hAnsi="仿宋"/>
          <w:color w:val="000000"/>
          <w:szCs w:val="32"/>
        </w:rPr>
        <w:t>　　（十二）学校负责具体实施和落实学生欺凌防治工作，扎实开展相关教育，制定完善预防和处置学生欺凌的各项措施、预案、制度规范和处置流程，及时妥善处理学生欺凌事件。指导、教育家长依法落实法定监护职责，增强法治意识，科学实施家庭教育，切实加强对孩子的看护和管教工作。（责任部门：各中小学校）</w:t>
      </w:r>
    </w:p>
    <w:p>
      <w:pPr>
        <w:spacing w:line="580" w:lineRule="exact"/>
        <w:ind w:firstLine="660"/>
        <w:rPr>
          <w:rFonts w:hAnsi="仿宋"/>
          <w:color w:val="000000"/>
          <w:szCs w:val="32"/>
        </w:rPr>
      </w:pPr>
      <w:r>
        <w:rPr>
          <w:rFonts w:hint="eastAsia" w:hAnsi="仿宋"/>
          <w:color w:val="000000"/>
          <w:szCs w:val="32"/>
        </w:rPr>
        <w:t>　</w:t>
      </w:r>
    </w:p>
    <w:p>
      <w:pPr>
        <w:spacing w:line="580" w:lineRule="exact"/>
        <w:ind w:firstLine="660"/>
        <w:rPr>
          <w:rFonts w:hAnsi="仿宋"/>
          <w:color w:val="000000"/>
          <w:szCs w:val="32"/>
        </w:rPr>
      </w:pPr>
    </w:p>
    <w:p>
      <w:pPr>
        <w:ind w:firstLine="7680" w:firstLineChars="2400"/>
        <w:rPr>
          <w:rFonts w:hint="eastAsia" w:hAnsi="仿宋"/>
          <w:color w:val="000000"/>
          <w:szCs w:val="32"/>
          <w:lang w:eastAsia="zh-CN"/>
        </w:rPr>
      </w:pPr>
      <w:r>
        <w:drawing>
          <wp:anchor distT="0" distB="0" distL="114300" distR="114300" simplePos="0" relativeHeight="251662336" behindDoc="1" locked="0" layoutInCell="1" allowOverlap="1">
            <wp:simplePos x="0" y="0"/>
            <wp:positionH relativeFrom="column">
              <wp:posOffset>3686175</wp:posOffset>
            </wp:positionH>
            <wp:positionV relativeFrom="paragraph">
              <wp:posOffset>73660</wp:posOffset>
            </wp:positionV>
            <wp:extent cx="1600200" cy="1666875"/>
            <wp:effectExtent l="0" t="0" r="0" b="9525"/>
            <wp:wrapNone/>
            <wp:docPr id="2" name="图片 4" descr="教育局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教育局公章"/>
                    <pic:cNvPicPr>
                      <a:picLocks noChangeAspect="1"/>
                    </pic:cNvPicPr>
                  </pic:nvPicPr>
                  <pic:blipFill>
                    <a:blip r:embed="rId6"/>
                    <a:stretch>
                      <a:fillRect/>
                    </a:stretch>
                  </pic:blipFill>
                  <pic:spPr>
                    <a:xfrm>
                      <a:off x="0" y="0"/>
                      <a:ext cx="1600200" cy="1666875"/>
                    </a:xfrm>
                    <a:prstGeom prst="rect">
                      <a:avLst/>
                    </a:prstGeom>
                    <a:noFill/>
                    <a:ln w="9525">
                      <a:noFill/>
                    </a:ln>
                  </pic:spPr>
                </pic:pic>
              </a:graphicData>
            </a:graphic>
          </wp:anchor>
        </w:drawing>
      </w:r>
    </w:p>
    <w:p>
      <w:pPr>
        <w:ind w:firstLine="7680" w:firstLineChars="2400"/>
        <w:rPr>
          <w:rFonts w:hint="eastAsia" w:hAnsi="仿宋"/>
          <w:color w:val="000000"/>
          <w:szCs w:val="32"/>
          <w:lang w:eastAsia="zh-CN"/>
        </w:rPr>
      </w:pPr>
    </w:p>
    <w:p>
      <w:pPr>
        <w:rPr>
          <w:rFonts w:hint="eastAsia" w:hAnsi="仿宋"/>
          <w:color w:val="000000"/>
          <w:szCs w:val="32"/>
          <w:lang w:val="en-US" w:eastAsia="zh-CN"/>
        </w:rPr>
      </w:pPr>
      <w:r>
        <w:rPr>
          <w:rFonts w:hint="eastAsia" w:hAnsi="仿宋"/>
          <w:color w:val="000000"/>
          <w:szCs w:val="32"/>
          <w:lang w:val="en-US" w:eastAsia="zh-CN"/>
        </w:rPr>
        <w:t xml:space="preserve">                                 二〇一八年三月二十一日</w:t>
      </w:r>
    </w:p>
    <w:sectPr>
      <w:headerReference r:id="rId3" w:type="default"/>
      <w:footerReference r:id="rId4" w:type="default"/>
      <w:pgSz w:w="11906" w:h="16838"/>
      <w:pgMar w:top="1440" w:right="1440" w:bottom="1440" w:left="1440" w:header="851" w:footer="992"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12</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BE"/>
    <w:rsid w:val="00011EF2"/>
    <w:rsid w:val="00016142"/>
    <w:rsid w:val="0005720A"/>
    <w:rsid w:val="00073096"/>
    <w:rsid w:val="00084220"/>
    <w:rsid w:val="000A2A37"/>
    <w:rsid w:val="000A5E53"/>
    <w:rsid w:val="000F3072"/>
    <w:rsid w:val="00101EBE"/>
    <w:rsid w:val="001141F3"/>
    <w:rsid w:val="00115888"/>
    <w:rsid w:val="001445F6"/>
    <w:rsid w:val="00144CD9"/>
    <w:rsid w:val="001A3A18"/>
    <w:rsid w:val="001A614D"/>
    <w:rsid w:val="001B182E"/>
    <w:rsid w:val="001B57CF"/>
    <w:rsid w:val="001F5582"/>
    <w:rsid w:val="001F70FC"/>
    <w:rsid w:val="0022122B"/>
    <w:rsid w:val="002721F4"/>
    <w:rsid w:val="002D09F3"/>
    <w:rsid w:val="002E474F"/>
    <w:rsid w:val="002F0D2C"/>
    <w:rsid w:val="00303B0F"/>
    <w:rsid w:val="003306A5"/>
    <w:rsid w:val="00351172"/>
    <w:rsid w:val="00367D31"/>
    <w:rsid w:val="00367E8E"/>
    <w:rsid w:val="003821C8"/>
    <w:rsid w:val="003A6706"/>
    <w:rsid w:val="003B416F"/>
    <w:rsid w:val="003F1F28"/>
    <w:rsid w:val="00402960"/>
    <w:rsid w:val="004407BD"/>
    <w:rsid w:val="00457567"/>
    <w:rsid w:val="00464EBD"/>
    <w:rsid w:val="00485C42"/>
    <w:rsid w:val="004B5EF4"/>
    <w:rsid w:val="004C2AC9"/>
    <w:rsid w:val="004F1034"/>
    <w:rsid w:val="0050053C"/>
    <w:rsid w:val="00501280"/>
    <w:rsid w:val="00521C22"/>
    <w:rsid w:val="00527B17"/>
    <w:rsid w:val="006111E6"/>
    <w:rsid w:val="006165BD"/>
    <w:rsid w:val="0064201F"/>
    <w:rsid w:val="00697A7A"/>
    <w:rsid w:val="006D5138"/>
    <w:rsid w:val="006D77D5"/>
    <w:rsid w:val="006F7640"/>
    <w:rsid w:val="007D76C1"/>
    <w:rsid w:val="00803A0D"/>
    <w:rsid w:val="00827AAE"/>
    <w:rsid w:val="008570CB"/>
    <w:rsid w:val="00861BFC"/>
    <w:rsid w:val="00862E70"/>
    <w:rsid w:val="00876EA9"/>
    <w:rsid w:val="00885E6D"/>
    <w:rsid w:val="008954F2"/>
    <w:rsid w:val="008A5864"/>
    <w:rsid w:val="008D26C5"/>
    <w:rsid w:val="008E0279"/>
    <w:rsid w:val="008E0E73"/>
    <w:rsid w:val="00934C33"/>
    <w:rsid w:val="009409CF"/>
    <w:rsid w:val="0096749B"/>
    <w:rsid w:val="00982D27"/>
    <w:rsid w:val="00985D2B"/>
    <w:rsid w:val="009D1D19"/>
    <w:rsid w:val="00A0667D"/>
    <w:rsid w:val="00A248D4"/>
    <w:rsid w:val="00A440CD"/>
    <w:rsid w:val="00A46B2E"/>
    <w:rsid w:val="00A67865"/>
    <w:rsid w:val="00A736BB"/>
    <w:rsid w:val="00A74AF6"/>
    <w:rsid w:val="00AF16DC"/>
    <w:rsid w:val="00B14587"/>
    <w:rsid w:val="00B230E4"/>
    <w:rsid w:val="00B331AD"/>
    <w:rsid w:val="00B3640C"/>
    <w:rsid w:val="00B4475E"/>
    <w:rsid w:val="00B54CE5"/>
    <w:rsid w:val="00B66D00"/>
    <w:rsid w:val="00B72987"/>
    <w:rsid w:val="00B803D8"/>
    <w:rsid w:val="00B967B4"/>
    <w:rsid w:val="00BB0437"/>
    <w:rsid w:val="00BB631A"/>
    <w:rsid w:val="00BE65DA"/>
    <w:rsid w:val="00C057A5"/>
    <w:rsid w:val="00C154DA"/>
    <w:rsid w:val="00C230BE"/>
    <w:rsid w:val="00C51B55"/>
    <w:rsid w:val="00CA5C7C"/>
    <w:rsid w:val="00CB5BFF"/>
    <w:rsid w:val="00CC6B18"/>
    <w:rsid w:val="00CE08AD"/>
    <w:rsid w:val="00CE09AA"/>
    <w:rsid w:val="00D26E75"/>
    <w:rsid w:val="00D55DC3"/>
    <w:rsid w:val="00D80FF6"/>
    <w:rsid w:val="00DA6242"/>
    <w:rsid w:val="00DB3AC5"/>
    <w:rsid w:val="00DC27AD"/>
    <w:rsid w:val="00DD3346"/>
    <w:rsid w:val="00DD4642"/>
    <w:rsid w:val="00E34B59"/>
    <w:rsid w:val="00E50856"/>
    <w:rsid w:val="00E56A29"/>
    <w:rsid w:val="00E62C26"/>
    <w:rsid w:val="00E72036"/>
    <w:rsid w:val="00E75B7A"/>
    <w:rsid w:val="00E856A8"/>
    <w:rsid w:val="00EC4A00"/>
    <w:rsid w:val="00EC4C63"/>
    <w:rsid w:val="00EC7C94"/>
    <w:rsid w:val="00ED0949"/>
    <w:rsid w:val="00EE3C72"/>
    <w:rsid w:val="00EE5275"/>
    <w:rsid w:val="00F45363"/>
    <w:rsid w:val="00F515DB"/>
    <w:rsid w:val="00F718A6"/>
    <w:rsid w:val="00F94F23"/>
    <w:rsid w:val="00FA45DB"/>
    <w:rsid w:val="03403A0C"/>
    <w:rsid w:val="03B96C3B"/>
    <w:rsid w:val="08153338"/>
    <w:rsid w:val="09C87CF5"/>
    <w:rsid w:val="0CB45CA8"/>
    <w:rsid w:val="0E0B558D"/>
    <w:rsid w:val="12334B7F"/>
    <w:rsid w:val="16D54C10"/>
    <w:rsid w:val="18FF3806"/>
    <w:rsid w:val="1F470902"/>
    <w:rsid w:val="205E2B2B"/>
    <w:rsid w:val="250D515C"/>
    <w:rsid w:val="2CBD789E"/>
    <w:rsid w:val="3114511A"/>
    <w:rsid w:val="33F0571B"/>
    <w:rsid w:val="37777640"/>
    <w:rsid w:val="40A74434"/>
    <w:rsid w:val="40FB7D44"/>
    <w:rsid w:val="469C656B"/>
    <w:rsid w:val="4C1539CE"/>
    <w:rsid w:val="538F1042"/>
    <w:rsid w:val="595251F9"/>
    <w:rsid w:val="63C86A90"/>
    <w:rsid w:val="656C5FF5"/>
    <w:rsid w:val="665315A8"/>
    <w:rsid w:val="66644C77"/>
    <w:rsid w:val="66C4725B"/>
    <w:rsid w:val="69654707"/>
    <w:rsid w:val="777849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20" w:lineRule="exact"/>
      <w:jc w:val="both"/>
    </w:pPr>
    <w:rPr>
      <w:rFonts w:ascii="仿宋_GB2312" w:hAnsi="Calibri" w:eastAsia="仿宋_GB2312" w:cs="Times New Roman"/>
      <w:kern w:val="2"/>
      <w:sz w:val="32"/>
      <w:szCs w:val="22"/>
      <w:lang w:val="en-US" w:eastAsia="zh-CN" w:bidi="ar-SA"/>
    </w:rPr>
  </w:style>
  <w:style w:type="character" w:default="1" w:styleId="5">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pPr>
      <w:spacing w:line="240" w:lineRule="auto"/>
    </w:pPr>
    <w:rPr>
      <w:sz w:val="18"/>
      <w:szCs w:val="18"/>
    </w:rPr>
  </w:style>
  <w:style w:type="paragraph" w:styleId="3">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6">
    <w:name w:val="Hyperlink"/>
    <w:basedOn w:val="5"/>
    <w:qFormat/>
    <w:uiPriority w:val="99"/>
    <w:rPr>
      <w:rFonts w:cs="Times New Roman"/>
      <w:color w:val="0000FF"/>
      <w:u w:val="single"/>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Balloon Text Char"/>
    <w:basedOn w:val="5"/>
    <w:link w:val="2"/>
    <w:semiHidden/>
    <w:qFormat/>
    <w:locked/>
    <w:uiPriority w:val="99"/>
    <w:rPr>
      <w:rFonts w:cs="Times New Roman"/>
      <w:sz w:val="18"/>
      <w:szCs w:val="18"/>
    </w:rPr>
  </w:style>
  <w:style w:type="character" w:customStyle="1" w:styleId="10">
    <w:name w:val="Footer Char"/>
    <w:basedOn w:val="5"/>
    <w:link w:val="3"/>
    <w:qFormat/>
    <w:locked/>
    <w:uiPriority w:val="99"/>
    <w:rPr>
      <w:rFonts w:cs="Times New Roman"/>
      <w:sz w:val="18"/>
      <w:szCs w:val="18"/>
    </w:rPr>
  </w:style>
  <w:style w:type="character" w:customStyle="1" w:styleId="11">
    <w:name w:val="Header Char"/>
    <w:basedOn w:val="5"/>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911</Words>
  <Characters>5199</Characters>
  <Lines>0</Lines>
  <Paragraphs>0</Paragraphs>
  <TotalTime>25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2018-01-02T07:59:00Z</dcterms:created>
  <dc:creator>li</dc:creator>
  <cp:lastModifiedBy>Administrator</cp:lastModifiedBy>
  <cp:lastPrinted>2018-06-21T00:53:00Z</cp:lastPrinted>
  <dcterms:modified xsi:type="dcterms:W3CDTF">2018-06-21T01:34:16Z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