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50" w:lineRule="atLeast"/>
        <w:ind w:firstLine="0" w:firstLineChars="0"/>
        <w:jc w:val="center"/>
        <w:textAlignment w:val="auto"/>
        <w:outlineLvl w:val="9"/>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中考考生如何办理归侨、华侨子女、归侨子女考生身份认证？</w:t>
      </w:r>
    </w:p>
    <w:p>
      <w:pPr>
        <w:widowControl/>
        <w:spacing w:line="315" w:lineRule="atLeast"/>
        <w:jc w:val="center"/>
        <w:rPr>
          <w:rFonts w:ascii="Calibri" w:hAnsi="Calibri"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cs="宋体" w:asciiTheme="majorEastAsia" w:hAnsiTheme="majorEastAsia" w:eastAsiaTheme="majorEastAsia"/>
          <w:b/>
          <w:color w:val="auto"/>
          <w:kern w:val="0"/>
          <w:sz w:val="32"/>
          <w:szCs w:val="32"/>
          <w:lang w:val="en-US" w:eastAsia="zh-CN"/>
        </w:rPr>
      </w:pPr>
      <w:r>
        <w:rPr>
          <w:rFonts w:cs="宋体" w:asciiTheme="majorEastAsia" w:hAnsiTheme="majorEastAsia" w:eastAsiaTheme="majorEastAsia"/>
          <w:b/>
          <w:color w:val="auto"/>
          <w:kern w:val="0"/>
          <w:sz w:val="32"/>
          <w:szCs w:val="32"/>
        </w:rPr>
        <w:t>一、要了解哪些事儿</w:t>
      </w:r>
      <w:r>
        <w:rPr>
          <w:rFonts w:hint="eastAsia" w:cs="宋体" w:asciiTheme="majorEastAsia" w:hAnsiTheme="majorEastAsia" w:eastAsiaTheme="majorEastAsia"/>
          <w:b/>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kern w:val="0"/>
          <w:sz w:val="32"/>
          <w:szCs w:val="32"/>
        </w:rPr>
        <w:t>1.何为“三侨生”</w:t>
      </w:r>
      <w:r>
        <w:rPr>
          <w:rFonts w:hint="eastAsia" w:asciiTheme="minorEastAsia" w:hAnsiTheme="minorEastAsia" w:eastAsiaTheme="minorEastAsia" w:cstheme="minorEastAsia"/>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三侨生指的是归侨学生、归侨子女、华侨在国内的子女。归侨的孙子女、外孙子女，华侨在国内的孙子女、外孙子女，港澳同胞的子女均不属“三侨生”范围。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归侨是指回国定居的华侨。“回国定居”是指华侨放弃原住在国长期、永久或合法居留权并依法办理回国落户手续。外籍华人经批准恢复或取得中国国籍并依法办理来中国落户手续的，视为归侨。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华侨是指定居在国外的中国公民。 “定居”是指中国公民已取得住在国长期或者永久居留权，并已在住在国连续居留两年，两年内累计居留不少于18个月。中国公民虽未取得住在国长期或者永久居留权，但已取得住在国连续5年以上(含5年)合法居留资格，5年内在住在国累计居留不少于30个月，视为华侨。中国公民出国留学(包括公派和自费)在外学习期间，或因公务出国(包括外派劳务人员)在外工作期间，均不视为华侨。</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2.办理时间：具体时间根据省侨办通知确定。</w:t>
      </w: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3.办理单位</w:t>
      </w: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抚顺市侨务办公室是抚顺市“三侨生”身份证明办理工作的受理和初审单位。辽宁省侨务办公室是“三侨生”身份证明办理工作的终审单位。</w:t>
      </w: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4.办理条件</w:t>
      </w: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“三侨生”本人或父（母）户籍所在地为抚顺市，并在规定的办理时间内能够向抚顺市侨务办公室提供有效身份证明材料的，均有资格申请办理“三侨生”身份证明。</w:t>
      </w:r>
    </w:p>
    <w:p>
      <w:pPr>
        <w:keepNext w:val="0"/>
        <w:keepLines w:val="0"/>
        <w:pageBreakBefore w:val="0"/>
        <w:widowControl/>
        <w:kinsoku/>
        <w:wordWrap/>
        <w:overflowPunct/>
        <w:topLinePunct w:val="0"/>
        <w:autoSpaceDE/>
        <w:autoSpaceDN/>
        <w:bidi w:val="0"/>
        <w:adjustRightInd/>
        <w:snapToGrid/>
        <w:spacing w:line="540" w:lineRule="exact"/>
        <w:ind w:firstLine="562"/>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5.办理地点</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抚顺市侨务办公室，抚顺市顺城区振兴大厦B座1708</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6.咨询电话</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cstheme="minorEastAsia"/>
          <w:color w:val="auto"/>
          <w:kern w:val="0"/>
          <w:sz w:val="32"/>
          <w:szCs w:val="32"/>
          <w:lang w:val="en-US" w:eastAsia="zh-CN"/>
        </w:rPr>
        <w:t>024-</w:t>
      </w:r>
      <w:r>
        <w:rPr>
          <w:rFonts w:hint="eastAsia" w:asciiTheme="minorEastAsia" w:hAnsiTheme="minorEastAsia" w:eastAsiaTheme="minorEastAsia" w:cstheme="minorEastAsia"/>
          <w:color w:val="auto"/>
          <w:kern w:val="0"/>
          <w:sz w:val="32"/>
          <w:szCs w:val="32"/>
        </w:rPr>
        <w:t>57500557</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kern w:val="0"/>
          <w:sz w:val="32"/>
          <w:szCs w:val="32"/>
        </w:rPr>
        <w:t>7.办理身份证明是否需要收费</w:t>
      </w:r>
      <w:r>
        <w:rPr>
          <w:rFonts w:hint="eastAsia" w:asciiTheme="minorEastAsia" w:hAnsiTheme="minorEastAsia" w:eastAsiaTheme="minorEastAsia" w:cstheme="minorEastAsia"/>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567"/>
        <w:textAlignment w:val="auto"/>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不收费。</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cs="宋体" w:asciiTheme="majorEastAsia" w:hAnsiTheme="majorEastAsia" w:eastAsiaTheme="majorEastAsia"/>
          <w:b/>
          <w:color w:val="auto"/>
          <w:kern w:val="0"/>
          <w:sz w:val="32"/>
          <w:szCs w:val="32"/>
          <w:lang w:eastAsia="zh-CN"/>
        </w:rPr>
      </w:pPr>
      <w:r>
        <w:rPr>
          <w:rFonts w:cs="宋体" w:asciiTheme="majorEastAsia" w:hAnsiTheme="majorEastAsia" w:eastAsiaTheme="majorEastAsia"/>
          <w:b/>
          <w:color w:val="auto"/>
          <w:kern w:val="0"/>
          <w:sz w:val="32"/>
          <w:szCs w:val="32"/>
        </w:rPr>
        <w:t>二、办理流程</w:t>
      </w:r>
      <w:r>
        <w:rPr>
          <w:rFonts w:hint="eastAsia" w:cs="宋体" w:asciiTheme="majorEastAsia" w:hAnsiTheme="majorEastAsia" w:eastAsiaTheme="majorEastAsia"/>
          <w:b/>
          <w:color w:val="auto"/>
          <w:kern w:val="0"/>
          <w:sz w:val="32"/>
          <w:szCs w:val="32"/>
          <w:lang w:eastAsia="zh-CN"/>
        </w:rPr>
        <w:t>图</w:t>
      </w:r>
    </w:p>
    <w:p>
      <w:pPr>
        <w:widowControl/>
        <w:spacing w:line="315" w:lineRule="atLeast"/>
        <w:ind w:firstLine="723"/>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drawing>
          <wp:inline distT="0" distB="0" distL="0" distR="0">
            <wp:extent cx="4448175" cy="3328035"/>
            <wp:effectExtent l="0" t="0" r="9525" b="5715"/>
            <wp:docPr id="3" name="图片 0"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无标题.png"/>
                    <pic:cNvPicPr>
                      <a:picLocks noChangeAspect="1"/>
                    </pic:cNvPicPr>
                  </pic:nvPicPr>
                  <pic:blipFill>
                    <a:blip r:embed="rId5" cstate="print"/>
                    <a:stretch>
                      <a:fillRect/>
                    </a:stretch>
                  </pic:blipFill>
                  <pic:spPr>
                    <a:xfrm>
                      <a:off x="0" y="0"/>
                      <a:ext cx="4451756" cy="3331046"/>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rPr>
      </w:pPr>
      <w:r>
        <w:rPr>
          <w:rFonts w:hint="eastAsia" w:asciiTheme="minorEastAsia" w:hAnsiTheme="minorEastAsia" w:eastAsiaTheme="minorEastAsia" w:cstheme="minorEastAsia"/>
          <w:b/>
          <w:color w:val="auto"/>
          <w:kern w:val="0"/>
          <w:sz w:val="32"/>
          <w:szCs w:val="32"/>
        </w:rPr>
        <w:t>三、需要提交哪些资料</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（一）归侨学生需提交的审核材料</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1.《归侨证》原件及复印件或《华侨来辽定居证》复印件（各市政府侨务部门需查验《归侨证》或《华侨来辽定居证》复印件的真实性）；</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2.《居民户口簿》原件及复印件；</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3.《居民身份证》原件及复印件。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（二）归侨子女需提交的审核材料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1.父 （母）《归侨证》原件及复印件或《华侨来辽定居证》复印件（各市政府侨务部门需查验《归侨证》或《华侨来辽定居证》复印件的真实性）；</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2.《居民户口簿》原件及复印件；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3.考生本人及其父（母）《居民身份证》原件及复印件；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4.考生及其父（母）关系公证或其他证明材料（出生证、户口簿等）原件及复印件。</w:t>
      </w:r>
    </w:p>
    <w:p>
      <w:pPr>
        <w:pStyle w:val="7"/>
        <w:keepNext w:val="0"/>
        <w:keepLines w:val="0"/>
        <w:pageBreakBefore w:val="0"/>
        <w:numPr>
          <w:ilvl w:val="0"/>
          <w:numId w:val="1"/>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kern w:val="0"/>
          <w:sz w:val="32"/>
          <w:szCs w:val="32"/>
        </w:rPr>
        <w:t>华侨身份证明原件</w:t>
      </w:r>
      <w:r>
        <w:rPr>
          <w:rFonts w:hint="eastAsia" w:asciiTheme="minorEastAsia" w:hAnsiTheme="minorEastAsia" w:eastAsiaTheme="minorEastAsia" w:cstheme="minorEastAsia"/>
          <w:color w:val="auto"/>
          <w:sz w:val="32"/>
          <w:szCs w:val="32"/>
        </w:rPr>
        <w:t>办理华侨子女升学照顾信所需材料：</w:t>
      </w:r>
    </w:p>
    <w:p>
      <w:pPr>
        <w:pStyle w:val="7"/>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1.华侨身份证明原件及复印件；</w:t>
      </w:r>
    </w:p>
    <w:p>
      <w:pPr>
        <w:pStyle w:val="7"/>
        <w:keepNext w:val="0"/>
        <w:keepLines w:val="0"/>
        <w:pageBreakBefore w:val="0"/>
        <w:numPr>
          <w:ilvl w:val="0"/>
          <w:numId w:val="2"/>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取得长期或永久居留权的华侨应提交：</w:t>
      </w:r>
    </w:p>
    <w:p>
      <w:pPr>
        <w:pStyle w:val="7"/>
        <w:keepNext w:val="0"/>
        <w:keepLines w:val="0"/>
        <w:pageBreakBefore w:val="0"/>
        <w:numPr>
          <w:ilvl w:val="0"/>
          <w:numId w:val="3"/>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身份公证或认证书：住在国中国使领馆出具的“长期或永久居留权”公证书、或对住在国有关部门出具的身份证明及其翻译材料的认证书（原件、复印件）；</w:t>
      </w:r>
    </w:p>
    <w:p>
      <w:pPr>
        <w:pStyle w:val="7"/>
        <w:keepNext w:val="0"/>
        <w:keepLines w:val="0"/>
        <w:pageBreakBefore w:val="0"/>
        <w:numPr>
          <w:ilvl w:val="0"/>
          <w:numId w:val="3"/>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身份证明：护照及长期或永久居留签证、证件（原件、复印件）；</w:t>
      </w:r>
    </w:p>
    <w:p>
      <w:pPr>
        <w:pStyle w:val="7"/>
        <w:keepNext w:val="0"/>
        <w:keepLines w:val="0"/>
        <w:pageBreakBefore w:val="0"/>
        <w:numPr>
          <w:ilvl w:val="0"/>
          <w:numId w:val="3"/>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出入境记录：出具“连续居留两年，两年内累计居留不少于18个月”（因公、留学除外）的出入境记录（原件、复印件）。 </w:t>
      </w:r>
    </w:p>
    <w:p>
      <w:pPr>
        <w:pStyle w:val="7"/>
        <w:keepNext w:val="0"/>
        <w:keepLines w:val="0"/>
        <w:pageBreakBefore w:val="0"/>
        <w:numPr>
          <w:ilvl w:val="0"/>
          <w:numId w:val="2"/>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取得住在国连续5年（含5年）以上合法居留资格（因公、留学除外）的华侨应提交：</w:t>
      </w:r>
    </w:p>
    <w:p>
      <w:pPr>
        <w:pStyle w:val="7"/>
        <w:keepNext w:val="0"/>
        <w:keepLines w:val="0"/>
        <w:pageBreakBefore w:val="0"/>
        <w:numPr>
          <w:ilvl w:val="0"/>
          <w:numId w:val="4"/>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身份公证或认证书：住在国中国使领馆出具的“取得住在国连续5年（含5年）以上合法居留资格”公证书、或对住在国有关部门出具的身份证明及其翻译材料的认证书（原件、复印件）；</w:t>
      </w:r>
    </w:p>
    <w:p>
      <w:pPr>
        <w:pStyle w:val="7"/>
        <w:keepNext w:val="0"/>
        <w:keepLines w:val="0"/>
        <w:pageBreakBefore w:val="0"/>
        <w:numPr>
          <w:ilvl w:val="0"/>
          <w:numId w:val="4"/>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身份证明：护照及住在国连续5年（含5年）合法居留签证、证件（原件、复印件）；</w:t>
      </w:r>
    </w:p>
    <w:p>
      <w:pPr>
        <w:pStyle w:val="7"/>
        <w:keepNext w:val="0"/>
        <w:keepLines w:val="0"/>
        <w:pageBreakBefore w:val="0"/>
        <w:numPr>
          <w:ilvl w:val="0"/>
          <w:numId w:val="4"/>
        </w:numPr>
        <w:kinsoku/>
        <w:wordWrap/>
        <w:overflowPunct/>
        <w:topLinePunct w:val="0"/>
        <w:autoSpaceDE/>
        <w:autoSpaceDN/>
        <w:bidi w:val="0"/>
        <w:adjustRightInd/>
        <w:snapToGrid/>
        <w:ind w:left="420" w:leftChars="200" w:firstLine="0" w:firstLineChars="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出入境记录：出具“5年内在住在国累计居留不少于30个月”（因公、留学除外）的出入境记录（原件、复印件）。 </w:t>
      </w:r>
    </w:p>
    <w:p>
      <w:pPr>
        <w:pStyle w:val="7"/>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2.华侨在国内子女的户口簿、身份证原件及复印件；</w:t>
      </w:r>
    </w:p>
    <w:p>
      <w:pPr>
        <w:pStyle w:val="7"/>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3.华侨子女与其父亲（母亲）关系公证或其他证明材料（出生证等）。</w:t>
      </w:r>
    </w:p>
    <w:p>
      <w:pPr>
        <w:pStyle w:val="7"/>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（四）归侨、华侨的收养子女需提交的审核材料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对归侨、华侨的收养子女（截至高考之日，保持5年以上抚养关系），除按第（二）、（三）条规定提交有效的证明材料外，还需提交县级以上民政部门出具的收养证明。</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（五）归侨、华侨的继子女需提交的审核材料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对归侨、华侨的继子女（截至高考之日，保持5年以上抚养关系），除按第（二）、（三）条规定提交有效的证明材料外，还需提交《结婚证》（原件、复印件）。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（六）对已故的归侨或华侨，需附死亡证复印件。</w:t>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lang w:eastAsia="zh-CN"/>
        </w:rPr>
      </w:pPr>
      <w:r>
        <w:rPr>
          <w:rFonts w:hint="eastAsia" w:asciiTheme="minorEastAsia" w:hAnsiTheme="minorEastAsia" w:eastAsiaTheme="minorEastAsia" w:cstheme="minorEastAsia"/>
          <w:b/>
          <w:color w:val="auto"/>
          <w:kern w:val="0"/>
          <w:sz w:val="32"/>
          <w:szCs w:val="32"/>
        </w:rPr>
        <w:t>四、需要办理多少时间</w:t>
      </w:r>
      <w:r>
        <w:rPr>
          <w:rFonts w:hint="eastAsia" w:asciiTheme="minorEastAsia" w:hAnsiTheme="minorEastAsia" w:cstheme="minorEastAsia"/>
          <w:b/>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如果资料齐全，可以当场受理。教育部门相关公示结束的时间为此项工作的办结时间。</w:t>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rPr>
      </w:pPr>
      <w:r>
        <w:rPr>
          <w:rFonts w:hint="eastAsia" w:asciiTheme="minorEastAsia" w:hAnsiTheme="minorEastAsia" w:eastAsiaTheme="minorEastAsia" w:cstheme="minorEastAsia"/>
          <w:b/>
          <w:color w:val="auto"/>
          <w:kern w:val="0"/>
          <w:sz w:val="32"/>
          <w:szCs w:val="32"/>
        </w:rPr>
        <w:t>五、注意事项</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往年办理此项工作的时间大约为每年的4-6月初。办理此项证明的三侨生请提前和学校、侨办进行沟通。</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p>
    <w:sectPr>
      <w:footerReference r:id="rId3" w:type="default"/>
      <w:pgSz w:w="11906" w:h="16838"/>
      <w:pgMar w:top="1440" w:right="1800" w:bottom="1440" w:left="1800" w:header="851" w:footer="992" w:gutter="0"/>
      <w:pgNumType w:fmt="decimal" w:start="3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AAA05"/>
    <w:multiLevelType w:val="singleLevel"/>
    <w:tmpl w:val="9E1AAA05"/>
    <w:lvl w:ilvl="0" w:tentative="0">
      <w:start w:val="1"/>
      <w:numFmt w:val="decimalEnclosedCircleChinese"/>
      <w:suff w:val="nothing"/>
      <w:lvlText w:val="%1　"/>
      <w:lvlJc w:val="left"/>
      <w:pPr>
        <w:ind w:left="0" w:firstLine="400"/>
      </w:pPr>
      <w:rPr>
        <w:rFonts w:hint="eastAsia"/>
      </w:rPr>
    </w:lvl>
  </w:abstractNum>
  <w:abstractNum w:abstractNumId="1">
    <w:nsid w:val="22EF5865"/>
    <w:multiLevelType w:val="multilevel"/>
    <w:tmpl w:val="22EF5865"/>
    <w:lvl w:ilvl="0" w:tentative="0">
      <w:start w:val="1"/>
      <w:numFmt w:val="decimal"/>
      <w:lvlText w:val="（%1）"/>
      <w:lvlJc w:val="left"/>
      <w:pPr>
        <w:ind w:left="1080" w:hanging="720"/>
      </w:pPr>
      <w:rPr>
        <w:rFonts w:hint="default"/>
      </w:rPr>
    </w:lvl>
    <w:lvl w:ilvl="1" w:tentative="0">
      <w:start w:val="1"/>
      <w:numFmt w:val="decimal"/>
      <w:lvlText w:val="%2）"/>
      <w:lvlJc w:val="left"/>
      <w:pPr>
        <w:ind w:left="1140" w:hanging="360"/>
      </w:pPr>
      <w:rPr>
        <w:rFonts w:hint="default"/>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31EC72C5"/>
    <w:multiLevelType w:val="multilevel"/>
    <w:tmpl w:val="31EC72C5"/>
    <w:lvl w:ilvl="0" w:tentative="0">
      <w:start w:val="3"/>
      <w:numFmt w:val="japaneseCounting"/>
      <w:lvlText w:val="（%1）"/>
      <w:lvlJc w:val="left"/>
      <w:pPr>
        <w:ind w:left="1140" w:hanging="720"/>
      </w:pPr>
      <w:rPr>
        <w:rFonts w:hint="default" w:ascii="Calibri" w:hAnsi="Calibri"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7CFB7FC"/>
    <w:multiLevelType w:val="singleLevel"/>
    <w:tmpl w:val="47CFB7FC"/>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79CE"/>
    <w:rsid w:val="007179CE"/>
    <w:rsid w:val="008D6A34"/>
    <w:rsid w:val="00A82E02"/>
    <w:rsid w:val="35F13184"/>
    <w:rsid w:val="3CFF1D06"/>
    <w:rsid w:val="42454959"/>
    <w:rsid w:val="48A37565"/>
    <w:rsid w:val="54482DF2"/>
    <w:rsid w:val="702E39C2"/>
    <w:rsid w:val="73AF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262</Words>
  <Characters>1496</Characters>
  <Lines>12</Lines>
  <Paragraphs>3</Paragraphs>
  <TotalTime>1</TotalTime>
  <ScaleCrop>false</ScaleCrop>
  <LinksUpToDate>false</LinksUpToDate>
  <CharactersWithSpaces>1755</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2018-09-27T05:50:00Z</dcterms:created>
  <dc:creator>Administrator</dc:creator>
  <cp:lastModifiedBy>图图</cp:lastModifiedBy>
  <cp:lastPrinted>2018-09-30T08:01:00Z</cp:lastPrinted>
  <dcterms:modified xsi:type="dcterms:W3CDTF">2018-10-10T02:32:19Z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