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autoSpaceDE/>
        <w:autoSpaceDN/>
        <w:spacing w:before="0" w:after="0" w:line="360" w:lineRule="auto"/>
        <w:ind w:left="0" w:right="0" w:firstLine="4480"/>
        <w:jc w:val="both"/>
        <w:rPr>
          <w:rFonts w:hint="default" w:ascii="仿宋" w:hAnsi="仿宋" w:eastAsia="仿宋"/>
          <w:color w:val="auto"/>
          <w:position w:val="0"/>
          <w:sz w:val="32"/>
          <w:szCs w:val="32"/>
        </w:rPr>
      </w:pPr>
      <w:bookmarkStart w:id="0" w:name="_GoBack"/>
      <w:bookmarkEnd w:id="0"/>
    </w:p>
    <w:p>
      <w:pPr>
        <w:numPr>
          <w:ilvl w:val="0"/>
          <w:numId w:val="0"/>
        </w:numPr>
        <w:wordWrap w:val="0"/>
        <w:autoSpaceDE/>
        <w:autoSpaceDN/>
        <w:spacing w:before="0" w:after="160" w:line="240" w:lineRule="auto"/>
        <w:ind w:left="0" w:right="0" w:firstLine="0"/>
        <w:jc w:val="both"/>
        <w:rPr>
          <w:rFonts w:hint="default" w:ascii="黑体" w:hAnsi="黑体" w:eastAsia="黑体"/>
          <w:color w:val="auto"/>
          <w:position w:val="0"/>
          <w:sz w:val="44"/>
          <w:szCs w:val="44"/>
        </w:rPr>
      </w:pPr>
      <w:r>
        <w:rPr>
          <w:sz w:val="20"/>
        </w:rPr>
        <w:pict>
          <v:shape id="_x0000_s1026" o:spid="_x0000_s1026" o:spt="4095" type="#_x0000_t4095" style="position:absolute;left:0pt;margin-left:-8pt;margin-top:0pt;height:74.4pt;width:405.9pt;z-index:251625472;mso-width-relative:page;mso-height-relative:page;" fillcolor="#FFFFFF" filled="t" o:preferrelative="t" stroked="f" coordsize="21600,21600">
            <v:path/>
            <v:fill on="t" focussize="0,0"/>
            <v:stroke on="f"/>
            <v:imagedata o:title=""/>
            <o:lock v:ext="edit"/>
            <v:textbox inset="7pt,4pt,7pt,4pt">
              <w:txbxContent>
                <w:p>
                  <w:pPr>
                    <w:numPr>
                      <w:ilvl w:val="0"/>
                      <w:numId w:val="0"/>
                    </w:numPr>
                    <w:wordWrap w:val="0"/>
                    <w:autoSpaceDE/>
                    <w:autoSpaceDN/>
                    <w:spacing w:before="0" w:after="160" w:line="240" w:lineRule="auto"/>
                    <w:ind w:left="0" w:right="0" w:firstLine="0"/>
                    <w:jc w:val="both"/>
                    <w:rPr>
                      <w:rFonts w:hint="default" w:ascii="宋体" w:hAnsi="宋体" w:eastAsia="宋体"/>
                      <w:b/>
                      <w:color w:val="FF0000"/>
                      <w:spacing w:val="-44"/>
                      <w:w w:val="70"/>
                      <w:position w:val="0"/>
                      <w:sz w:val="84"/>
                      <w:szCs w:val="84"/>
                    </w:rPr>
                  </w:pPr>
                  <w:r>
                    <w:rPr>
                      <w:rFonts w:hint="default" w:ascii="宋体" w:hAnsi="宋体" w:eastAsia="宋体"/>
                      <w:b/>
                      <w:color w:val="FF0000"/>
                      <w:spacing w:val="-44"/>
                      <w:w w:val="70"/>
                      <w:position w:val="0"/>
                      <w:sz w:val="84"/>
                      <w:szCs w:val="84"/>
                    </w:rPr>
                    <w:t>新宾满族自治县农村经济发展局</w:t>
                  </w:r>
                </w:p>
              </w:txbxContent>
            </v:textbox>
          </v:shape>
        </w:pict>
      </w:r>
      <w:r>
        <w:rPr>
          <w:sz w:val="20"/>
        </w:rPr>
        <w:pict>
          <v:shape id="_x0000_s1027" o:spid="_x0000_s1027" o:spt="4095" type="#_x0000_t4095" style="position:absolute;left:0pt;margin-left:356pt;margin-top:25pt;height:74.4pt;width:85.8pt;z-index:251625472;mso-width-relative:page;mso-height-relative:page;" fillcolor="#FFFFFF" filled="t" o:preferrelative="t" stroked="f" coordsize="21600,21600">
            <v:path/>
            <v:fill on="t" opacity="64765f" focussize="0,0"/>
            <v:stroke on="f"/>
            <v:imagedata o:title=""/>
            <o:lock v:ext="edit"/>
            <v:textbox inset="7pt,4pt,7pt,4pt">
              <w:txbxContent>
                <w:p>
                  <w:pPr>
                    <w:numPr>
                      <w:ilvl w:val="0"/>
                      <w:numId w:val="0"/>
                    </w:numPr>
                    <w:wordWrap w:val="0"/>
                    <w:autoSpaceDE/>
                    <w:autoSpaceDN/>
                    <w:spacing w:before="0" w:after="160" w:line="240" w:lineRule="auto"/>
                    <w:ind w:left="0" w:right="0" w:firstLine="0"/>
                    <w:jc w:val="both"/>
                    <w:rPr>
                      <w:rFonts w:hint="default" w:ascii="Times New Roman" w:hAnsi="Times New Roman" w:eastAsia="Times New Roman"/>
                      <w:b/>
                      <w:color w:val="FF0000"/>
                      <w:w w:val="75"/>
                      <w:position w:val="0"/>
                      <w:sz w:val="84"/>
                      <w:szCs w:val="84"/>
                    </w:rPr>
                  </w:pPr>
                  <w:r>
                    <w:rPr>
                      <w:rFonts w:hint="default" w:ascii="Times New Roman" w:hAnsi="Times New Roman" w:eastAsia="Times New Roman"/>
                      <w:b/>
                      <w:color w:val="FF0000"/>
                      <w:w w:val="75"/>
                      <w:position w:val="0"/>
                      <w:sz w:val="84"/>
                      <w:szCs w:val="84"/>
                    </w:rPr>
                    <w:t>文件</w:t>
                  </w:r>
                </w:p>
              </w:txbxContent>
            </v:textbox>
          </v:shape>
        </w:pict>
      </w:r>
    </w:p>
    <w:p>
      <w:pPr>
        <w:numPr>
          <w:ilvl w:val="0"/>
          <w:numId w:val="0"/>
        </w:numPr>
        <w:wordWrap w:val="0"/>
        <w:autoSpaceDE/>
        <w:autoSpaceDN/>
        <w:spacing w:before="0" w:after="160" w:line="240" w:lineRule="auto"/>
        <w:ind w:left="0" w:right="0" w:firstLine="0"/>
        <w:jc w:val="both"/>
        <w:rPr>
          <w:rFonts w:hint="default" w:ascii="黑体" w:hAnsi="黑体" w:eastAsia="黑体"/>
          <w:color w:val="auto"/>
          <w:position w:val="0"/>
          <w:sz w:val="44"/>
          <w:szCs w:val="44"/>
        </w:rPr>
      </w:pPr>
      <w:r>
        <w:rPr>
          <w:sz w:val="20"/>
        </w:rPr>
        <w:pict>
          <v:shape id="_x0000_s1028" o:spid="_x0000_s1028" o:spt="4095" type="#_x0000_t4095" style="position:absolute;left:0pt;margin-left:-2pt;margin-top:43pt;height:58.3pt;width:375.4pt;z-index:251625472;mso-width-relative:page;mso-height-relative:page;" fillcolor="#FFFFFF" filled="t" o:preferrelative="t" stroked="f" coordsize="21600,21600">
            <v:path/>
            <v:fill on="t" focussize="0,0"/>
            <v:stroke on="f"/>
            <v:imagedata o:title=""/>
            <o:lock v:ext="edit"/>
            <v:textbox inset="7pt,4pt,7pt,4pt">
              <w:txbxContent>
                <w:p>
                  <w:pPr>
                    <w:numPr>
                      <w:ilvl w:val="0"/>
                      <w:numId w:val="0"/>
                    </w:numPr>
                    <w:wordWrap w:val="0"/>
                    <w:autoSpaceDE/>
                    <w:autoSpaceDN/>
                    <w:spacing w:before="0" w:after="160" w:line="240" w:lineRule="auto"/>
                    <w:ind w:left="0" w:right="0" w:firstLine="0"/>
                    <w:jc w:val="both"/>
                    <w:rPr>
                      <w:rFonts w:hint="default" w:ascii="Times New Roman" w:hAnsi="Times New Roman" w:eastAsia="Times New Roman"/>
                      <w:b/>
                      <w:color w:val="FF0000"/>
                      <w:spacing w:val="-8"/>
                      <w:w w:val="70"/>
                      <w:position w:val="0"/>
                      <w:sz w:val="84"/>
                      <w:szCs w:val="84"/>
                    </w:rPr>
                  </w:pPr>
                  <w:r>
                    <w:rPr>
                      <w:rFonts w:hint="default" w:ascii="Times New Roman" w:hAnsi="Times New Roman" w:eastAsia="Times New Roman"/>
                      <w:b/>
                      <w:color w:val="FF0000"/>
                      <w:spacing w:val="0"/>
                      <w:w w:val="85"/>
                      <w:position w:val="0"/>
                      <w:sz w:val="84"/>
                      <w:szCs w:val="84"/>
                      <w:fitText w:val="7200" w:id="0"/>
                    </w:rPr>
                    <w:t>新宾满族自治县财政</w:t>
                  </w:r>
                  <w:r>
                    <w:rPr>
                      <w:rFonts w:hint="default" w:ascii="Times New Roman" w:hAnsi="Times New Roman" w:eastAsia="Times New Roman"/>
                      <w:b/>
                      <w:color w:val="FF0000"/>
                      <w:spacing w:val="5"/>
                      <w:w w:val="85"/>
                      <w:position w:val="0"/>
                      <w:sz w:val="84"/>
                      <w:szCs w:val="84"/>
                      <w:fitText w:val="7200" w:id="0"/>
                    </w:rPr>
                    <w:t>局</w:t>
                  </w:r>
                </w:p>
              </w:txbxContent>
            </v:textbox>
          </v:shape>
        </w:pict>
      </w:r>
    </w:p>
    <w:p>
      <w:pPr>
        <w:numPr>
          <w:ilvl w:val="0"/>
          <w:numId w:val="0"/>
        </w:numPr>
        <w:wordWrap w:val="0"/>
        <w:autoSpaceDE/>
        <w:autoSpaceDN/>
        <w:spacing w:before="0" w:after="160" w:line="240" w:lineRule="auto"/>
        <w:ind w:left="0" w:right="0" w:firstLine="0"/>
        <w:jc w:val="both"/>
        <w:rPr>
          <w:rFonts w:hint="default" w:ascii="仿宋_GB2312" w:hAnsi="仿宋_GB2312" w:eastAsia="仿宋_GB2312"/>
          <w:color w:val="auto"/>
          <w:position w:val="0"/>
          <w:sz w:val="32"/>
          <w:szCs w:val="32"/>
        </w:rPr>
      </w:pPr>
    </w:p>
    <w:p>
      <w:pPr>
        <w:numPr>
          <w:ilvl w:val="0"/>
          <w:numId w:val="0"/>
        </w:numPr>
        <w:wordWrap w:val="0"/>
        <w:autoSpaceDE/>
        <w:autoSpaceDN/>
        <w:spacing w:before="0" w:after="160" w:line="400" w:lineRule="exact"/>
        <w:ind w:left="0" w:right="0" w:firstLine="0"/>
        <w:jc w:val="center"/>
        <w:rPr>
          <w:rFonts w:hint="default" w:ascii="仿宋_GB2312" w:hAnsi="仿宋_GB2312" w:eastAsia="仿宋_GB2312"/>
          <w:color w:val="auto"/>
          <w:position w:val="0"/>
          <w:sz w:val="32"/>
          <w:szCs w:val="32"/>
        </w:rPr>
      </w:pPr>
    </w:p>
    <w:p>
      <w:pPr>
        <w:numPr>
          <w:ilvl w:val="0"/>
          <w:numId w:val="0"/>
        </w:numPr>
        <w:wordWrap w:val="0"/>
        <w:autoSpaceDE/>
        <w:autoSpaceDN/>
        <w:spacing w:before="0" w:after="160" w:line="400" w:lineRule="exact"/>
        <w:ind w:left="0" w:right="0" w:firstLine="0"/>
        <w:jc w:val="center"/>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新农发［2018］56号</w:t>
      </w:r>
    </w:p>
    <w:p>
      <w:pPr>
        <w:numPr>
          <w:ilvl w:val="0"/>
          <w:numId w:val="0"/>
        </w:numPr>
        <w:wordWrap w:val="0"/>
        <w:autoSpaceDE/>
        <w:autoSpaceDN/>
        <w:spacing w:before="0" w:after="160" w:line="400" w:lineRule="exact"/>
        <w:ind w:left="0" w:right="0" w:firstLine="0"/>
        <w:jc w:val="both"/>
        <w:rPr>
          <w:rFonts w:hint="default" w:ascii="仿宋_GB2312" w:hAnsi="仿宋_GB2312" w:eastAsia="仿宋_GB2312"/>
          <w:color w:val="auto"/>
          <w:position w:val="0"/>
          <w:sz w:val="32"/>
          <w:szCs w:val="32"/>
          <w:u w:val="thick" w:color="FF0000"/>
        </w:rPr>
      </w:pPr>
    </w:p>
    <w:p>
      <w:pPr>
        <w:numPr>
          <w:ilvl w:val="0"/>
          <w:numId w:val="0"/>
        </w:numPr>
        <w:wordWrap w:val="0"/>
        <w:autoSpaceDE/>
        <w:autoSpaceDN/>
        <w:spacing w:before="0" w:after="160" w:line="240" w:lineRule="auto"/>
        <w:ind w:left="0" w:right="0" w:firstLine="1200"/>
        <w:jc w:val="both"/>
        <w:rPr>
          <w:rFonts w:hint="default" w:ascii="黑体" w:hAnsi="仿宋" w:eastAsia="仿宋"/>
          <w:color w:val="auto"/>
          <w:position w:val="0"/>
          <w:sz w:val="40"/>
          <w:szCs w:val="40"/>
        </w:rPr>
      </w:pPr>
      <w:r>
        <w:rPr>
          <w:rFonts w:hint="default" w:ascii="黑体" w:hAnsi="仿宋" w:eastAsia="仿宋"/>
          <w:color w:val="auto"/>
          <w:position w:val="0"/>
          <w:sz w:val="40"/>
          <w:szCs w:val="40"/>
        </w:rPr>
        <w:t>关于印发《新宾满族自治县2018年</w:t>
      </w:r>
    </w:p>
    <w:p>
      <w:pPr>
        <w:numPr>
          <w:ilvl w:val="0"/>
          <w:numId w:val="0"/>
        </w:numPr>
        <w:wordWrap w:val="0"/>
        <w:autoSpaceDE/>
        <w:autoSpaceDN/>
        <w:spacing w:before="0" w:after="160" w:line="240" w:lineRule="auto"/>
        <w:ind w:left="0" w:right="0" w:firstLine="400"/>
        <w:jc w:val="both"/>
        <w:rPr>
          <w:rFonts w:hint="default" w:ascii="黑体" w:hAnsi="仿宋" w:eastAsia="仿宋"/>
          <w:color w:val="auto"/>
          <w:position w:val="0"/>
          <w:sz w:val="40"/>
          <w:szCs w:val="40"/>
        </w:rPr>
      </w:pPr>
      <w:r>
        <w:rPr>
          <w:rFonts w:hint="default" w:ascii="黑体" w:hAnsi="仿宋" w:eastAsia="仿宋"/>
          <w:color w:val="auto"/>
          <w:position w:val="0"/>
          <w:sz w:val="40"/>
          <w:szCs w:val="40"/>
        </w:rPr>
        <w:t>新型职业农民培育工程实施方案》的通知</w:t>
      </w:r>
    </w:p>
    <w:p>
      <w:pPr>
        <w:numPr>
          <w:ilvl w:val="0"/>
          <w:numId w:val="0"/>
        </w:numPr>
        <w:wordWrap w:val="0"/>
        <w:autoSpaceDE/>
        <w:autoSpaceDN/>
        <w:spacing w:before="0" w:after="160" w:line="360" w:lineRule="auto"/>
        <w:ind w:left="0" w:right="0" w:firstLine="0"/>
        <w:jc w:val="both"/>
        <w:rPr>
          <w:rFonts w:hint="default" w:ascii="宋体" w:hAnsi="宋体" w:eastAsia="宋体"/>
          <w:b/>
          <w:color w:val="auto"/>
          <w:position w:val="0"/>
          <w:sz w:val="32"/>
          <w:szCs w:val="32"/>
        </w:rPr>
      </w:pPr>
      <w:r>
        <w:rPr>
          <w:rFonts w:hint="default" w:ascii="宋体" w:hAnsi="宋体" w:eastAsia="宋体"/>
          <w:b/>
          <w:color w:val="auto"/>
          <w:position w:val="0"/>
          <w:sz w:val="32"/>
          <w:szCs w:val="32"/>
        </w:rPr>
        <w:t>各乡（镇）农业站、培训机构、培训基地：</w:t>
      </w:r>
    </w:p>
    <w:p>
      <w:pPr>
        <w:numPr>
          <w:ilvl w:val="0"/>
          <w:numId w:val="0"/>
        </w:numPr>
        <w:wordWrap w:val="0"/>
        <w:autoSpaceDE/>
        <w:autoSpaceDN/>
        <w:spacing w:before="0" w:after="160" w:line="360" w:lineRule="auto"/>
        <w:ind w:left="0" w:right="0" w:firstLine="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 xml:space="preserve">    为深入贯彻落实党中央、国务院关于大力培育新型职业农民的总体部署，加快构建新型职业农民队伍，壮大新型农业经营主体，按照《辽宁省2018年新型职业农民培育工程实施方案》的通知要求，结合我县实际，继续实施新型职业农民培育工程。现将《新宾满族自治县新型职业农民培育工程实施方案》印发给你们，请遵照执行。</w:t>
      </w:r>
    </w:p>
    <w:p>
      <w:pPr>
        <w:numPr>
          <w:ilvl w:val="0"/>
          <w:numId w:val="0"/>
        </w:numPr>
        <w:wordWrap w:val="0"/>
        <w:autoSpaceDE/>
        <w:autoSpaceDN/>
        <w:spacing w:before="0" w:after="160" w:line="360" w:lineRule="auto"/>
        <w:ind w:left="0" w:right="0" w:firstLine="1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新宾满族自治县农村经济发展局     新宾满族自治县财政局</w:t>
      </w:r>
    </w:p>
    <w:p>
      <w:pPr>
        <w:numPr>
          <w:ilvl w:val="0"/>
          <w:numId w:val="0"/>
        </w:numPr>
        <w:wordWrap w:val="0"/>
        <w:autoSpaceDE/>
        <w:autoSpaceDN/>
        <w:spacing w:before="0" w:after="160" w:line="240" w:lineRule="auto"/>
        <w:ind w:left="0" w:right="0" w:firstLine="464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二0一八年十月十八日</w:t>
      </w:r>
    </w:p>
    <w:p>
      <w:pPr>
        <w:numPr>
          <w:ilvl w:val="0"/>
          <w:numId w:val="0"/>
        </w:numPr>
        <w:wordWrap w:val="0"/>
        <w:autoSpaceDE/>
        <w:autoSpaceDN/>
        <w:spacing w:before="0" w:after="160" w:line="240" w:lineRule="auto"/>
        <w:ind w:left="0" w:right="0" w:firstLine="4640"/>
        <w:jc w:val="both"/>
        <w:rPr>
          <w:rFonts w:hint="default" w:ascii="宋体" w:hAnsi="宋体" w:eastAsia="宋体"/>
          <w:color w:val="auto"/>
          <w:position w:val="0"/>
          <w:sz w:val="32"/>
          <w:szCs w:val="32"/>
        </w:rPr>
      </w:pPr>
    </w:p>
    <w:p>
      <w:pPr>
        <w:numPr>
          <w:ilvl w:val="0"/>
          <w:numId w:val="0"/>
        </w:numPr>
        <w:wordWrap w:val="0"/>
        <w:autoSpaceDE/>
        <w:autoSpaceDN/>
        <w:spacing w:before="0" w:after="160" w:line="560" w:lineRule="exact"/>
        <w:ind w:left="0" w:right="0" w:firstLine="2741"/>
        <w:jc w:val="both"/>
        <w:rPr>
          <w:rFonts w:hint="default" w:ascii="宋体" w:hAnsi="宋体" w:eastAsia="宋体"/>
          <w:b/>
          <w:color w:val="000000"/>
          <w:spacing w:val="-10"/>
          <w:position w:val="0"/>
          <w:sz w:val="44"/>
          <w:szCs w:val="44"/>
        </w:rPr>
      </w:pPr>
      <w:r>
        <w:rPr>
          <w:rFonts w:hint="default" w:ascii="宋体" w:hAnsi="宋体" w:eastAsia="宋体"/>
          <w:b/>
          <w:color w:val="000000"/>
          <w:spacing w:val="-10"/>
          <w:position w:val="0"/>
          <w:sz w:val="44"/>
          <w:szCs w:val="44"/>
        </w:rPr>
        <w:t>新宾满族自治县2018年</w:t>
      </w:r>
    </w:p>
    <w:p>
      <w:pPr>
        <w:numPr>
          <w:ilvl w:val="0"/>
          <w:numId w:val="0"/>
        </w:numPr>
        <w:wordWrap w:val="0"/>
        <w:autoSpaceDE/>
        <w:autoSpaceDN/>
        <w:spacing w:before="0" w:after="160" w:line="560" w:lineRule="exact"/>
        <w:ind w:left="0" w:right="0" w:firstLine="0"/>
        <w:jc w:val="center"/>
        <w:rPr>
          <w:rFonts w:hint="default" w:ascii="宋体" w:hAnsi="宋体" w:eastAsia="宋体"/>
          <w:b/>
          <w:color w:val="000000"/>
          <w:spacing w:val="-10"/>
          <w:position w:val="0"/>
          <w:sz w:val="44"/>
          <w:szCs w:val="44"/>
        </w:rPr>
      </w:pPr>
      <w:r>
        <w:rPr>
          <w:rFonts w:hint="default" w:ascii="宋体" w:hAnsi="宋体" w:eastAsia="宋体"/>
          <w:b/>
          <w:color w:val="000000"/>
          <w:spacing w:val="-10"/>
          <w:position w:val="0"/>
          <w:sz w:val="44"/>
          <w:szCs w:val="44"/>
        </w:rPr>
        <w:t>新型职业农民培育工程实施方案</w:t>
      </w:r>
    </w:p>
    <w:p>
      <w:pPr>
        <w:numPr>
          <w:ilvl w:val="0"/>
          <w:numId w:val="0"/>
        </w:numPr>
        <w:wordWrap w:val="0"/>
        <w:autoSpaceDE/>
        <w:autoSpaceDN/>
        <w:spacing w:before="0" w:after="160" w:line="560" w:lineRule="exact"/>
        <w:ind w:left="0" w:right="0" w:firstLine="0"/>
        <w:jc w:val="left"/>
        <w:rPr>
          <w:rFonts w:hint="default" w:ascii="宋体" w:hAnsi="宋体" w:eastAsia="宋体"/>
          <w:color w:val="000000"/>
          <w:position w:val="0"/>
          <w:sz w:val="32"/>
          <w:szCs w:val="32"/>
          <w:shd w:val="clear" w:color="000000" w:fill="FFFFFF"/>
        </w:rPr>
      </w:pPr>
      <w:r>
        <w:rPr>
          <w:rFonts w:hint="default" w:ascii="宋体" w:hAnsi="宋体" w:eastAsia="宋体"/>
          <w:color w:val="000000"/>
          <w:position w:val="0"/>
          <w:sz w:val="32"/>
          <w:szCs w:val="32"/>
        </w:rPr>
        <w:t xml:space="preserve">   根据《辽宁省2018年新型职业农民培育工程实施方案》要求，结合我县实际，制定本实施案。</w:t>
      </w:r>
    </w:p>
    <w:p>
      <w:pPr>
        <w:numPr>
          <w:ilvl w:val="0"/>
          <w:numId w:val="0"/>
        </w:numPr>
        <w:wordWrap w:val="0"/>
        <w:autoSpaceDE/>
        <w:autoSpaceDN/>
        <w:spacing w:before="0" w:after="160" w:line="560" w:lineRule="exact"/>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一、总体思路和目标</w:t>
      </w:r>
    </w:p>
    <w:p>
      <w:pPr>
        <w:numPr>
          <w:ilvl w:val="0"/>
          <w:numId w:val="0"/>
        </w:numPr>
        <w:wordWrap w:val="0"/>
        <w:autoSpaceDE/>
        <w:autoSpaceDN/>
        <w:spacing w:before="0" w:after="160" w:line="56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（一）工作思路。</w:t>
      </w:r>
      <w:r>
        <w:rPr>
          <w:rFonts w:hint="default" w:ascii="宋体" w:hAnsi="宋体" w:eastAsia="宋体"/>
          <w:color w:val="000000"/>
          <w:position w:val="0"/>
          <w:sz w:val="32"/>
          <w:szCs w:val="32"/>
        </w:rPr>
        <w:t>以服务质量兴农、绿色兴农、品牌强农为导向，以满足农民需求为核心，以提升培育质量效能为重点，进一步提高新型职业农民培育工作的针对性、规范性、有效性，进一步提高新型职业农民的发展能力和培育工作基础保障能力，加快构建一支爱农业、懂技术、善经营的新型职业农民队伍，带动乡村人口综合素质、生产技能和经营能力进一步提升，为实施乡村振兴战略提供人才支撑。</w:t>
      </w:r>
    </w:p>
    <w:p>
      <w:pPr>
        <w:numPr>
          <w:ilvl w:val="0"/>
          <w:numId w:val="0"/>
        </w:numPr>
        <w:wordWrap w:val="0"/>
        <w:autoSpaceDE/>
        <w:autoSpaceDN/>
        <w:spacing w:before="0" w:after="160" w:line="56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（二）目标任务。</w:t>
      </w:r>
      <w:r>
        <w:rPr>
          <w:rFonts w:hint="default" w:ascii="宋体" w:hAnsi="宋体" w:eastAsia="宋体"/>
          <w:color w:val="000000"/>
          <w:position w:val="0"/>
          <w:sz w:val="32"/>
          <w:szCs w:val="32"/>
        </w:rPr>
        <w:t>2018年实施新型职业农民培育工程的主要任务是实施新型农业经营主体带头人轮训，人数为380人，按省农广校培训方案要求为其推荐现代青年农场学员。</w:t>
      </w:r>
    </w:p>
    <w:p>
      <w:pPr>
        <w:numPr>
          <w:ilvl w:val="0"/>
          <w:numId w:val="0"/>
        </w:numPr>
        <w:wordWrap w:val="0"/>
        <w:autoSpaceDE/>
        <w:autoSpaceDN/>
        <w:spacing w:before="0" w:after="160" w:line="56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（三）基本原则。一是坚持政府主导</w:t>
      </w:r>
      <w:r>
        <w:rPr>
          <w:rFonts w:hint="default" w:ascii="宋体" w:hAnsi="宋体" w:eastAsia="宋体"/>
          <w:color w:val="000000"/>
          <w:position w:val="0"/>
          <w:sz w:val="32"/>
          <w:szCs w:val="32"/>
        </w:rPr>
        <w:t>。新型职业农民培育是一项公益性、基础性、长期性的事业，要坚持政府主导，加强统筹协调，加大支持力度，改善培育条件，营造良好氛围。</w:t>
      </w:r>
      <w:r>
        <w:rPr>
          <w:rFonts w:hint="default" w:ascii="宋体" w:hAnsi="宋体" w:eastAsia="宋体"/>
          <w:b/>
          <w:color w:val="000000"/>
          <w:position w:val="0"/>
          <w:sz w:val="32"/>
          <w:szCs w:val="32"/>
        </w:rPr>
        <w:t>二是尊重农民意愿。</w:t>
      </w:r>
      <w:r>
        <w:rPr>
          <w:rFonts w:hint="default" w:ascii="宋体" w:hAnsi="宋体" w:eastAsia="宋体"/>
          <w:color w:val="000000"/>
          <w:position w:val="0"/>
          <w:sz w:val="32"/>
          <w:szCs w:val="32"/>
        </w:rPr>
        <w:t>要坚持农民的主体地位，充分听取农民意见，尊重农民意愿，通过提升培训质量和宣传引导，调动农民参训的积极性和主动性，变“要我学”为“我要学”。</w:t>
      </w:r>
      <w:r>
        <w:rPr>
          <w:rFonts w:hint="default" w:ascii="宋体" w:hAnsi="宋体" w:eastAsia="宋体"/>
          <w:b/>
          <w:color w:val="000000"/>
          <w:position w:val="0"/>
          <w:sz w:val="32"/>
          <w:szCs w:val="32"/>
        </w:rPr>
        <w:t>三是立足产业培育。</w:t>
      </w:r>
      <w:r>
        <w:rPr>
          <w:rFonts w:hint="default" w:ascii="宋体" w:hAnsi="宋体" w:eastAsia="宋体"/>
          <w:color w:val="000000"/>
          <w:position w:val="0"/>
          <w:sz w:val="32"/>
          <w:szCs w:val="32"/>
        </w:rPr>
        <w:t>立足农业主导产业、优势特色产业发展实际，根据产业发展水平和培育对象特点，分类分产业分层次开展培育，强化培育的针对性。</w:t>
      </w:r>
      <w:r>
        <w:rPr>
          <w:rFonts w:hint="default" w:ascii="宋体" w:hAnsi="宋体" w:eastAsia="宋体"/>
          <w:b/>
          <w:color w:val="000000"/>
          <w:position w:val="0"/>
          <w:sz w:val="32"/>
          <w:szCs w:val="32"/>
        </w:rPr>
        <w:t>四是突出培育重点。</w:t>
      </w:r>
      <w:r>
        <w:rPr>
          <w:rFonts w:hint="default" w:ascii="宋体" w:hAnsi="宋体" w:eastAsia="宋体"/>
          <w:color w:val="000000"/>
          <w:position w:val="0"/>
          <w:sz w:val="32"/>
          <w:szCs w:val="32"/>
        </w:rPr>
        <w:t>以新型农业经营主体带头人为重点培育对象，以粮食和优势、特色产业为重点领域，以教育培训为重点环节，把职业农民培养成建设现代农业的主导力量。</w:t>
      </w:r>
    </w:p>
    <w:p>
      <w:pPr>
        <w:numPr>
          <w:ilvl w:val="0"/>
          <w:numId w:val="0"/>
        </w:numPr>
        <w:wordWrap w:val="0"/>
        <w:autoSpaceDE/>
        <w:autoSpaceDN/>
        <w:spacing w:before="0" w:after="160" w:line="360" w:lineRule="auto"/>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二、实施内容及步骤</w:t>
      </w:r>
    </w:p>
    <w:p>
      <w:pPr>
        <w:numPr>
          <w:ilvl w:val="0"/>
          <w:numId w:val="0"/>
        </w:numPr>
        <w:wordWrap w:val="0"/>
        <w:autoSpaceDE/>
        <w:autoSpaceDN/>
        <w:spacing w:before="0" w:after="160" w:line="360" w:lineRule="auto"/>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（一）选准培育对象。</w:t>
      </w:r>
      <w:r>
        <w:rPr>
          <w:rFonts w:hint="default" w:ascii="宋体" w:hAnsi="宋体" w:eastAsia="宋体"/>
          <w:color w:val="000000"/>
          <w:position w:val="0"/>
          <w:sz w:val="32"/>
          <w:szCs w:val="32"/>
        </w:rPr>
        <w:t>按照年初产业需求摸底调查，按主导产业和优势特色产业建立培育对象库，各乡镇遴选有意愿、有需求的农民参训。新型农业经营主体带头人和现代青年农场主对象遴选，优先培育省市县三级示范家庭农场和农民合作社示范社带头人，培育对象基本条件如下：</w:t>
      </w:r>
    </w:p>
    <w:p>
      <w:pPr>
        <w:numPr>
          <w:ilvl w:val="0"/>
          <w:numId w:val="0"/>
        </w:numPr>
        <w:wordWrap w:val="0"/>
        <w:autoSpaceDE/>
        <w:autoSpaceDN/>
        <w:spacing w:before="0" w:after="160" w:line="360" w:lineRule="auto"/>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1.新型农业经营主体带头人。包括专业大户、家庭农场、农民合作社、农业企业、返乡涉农创业者等新型农业经营主体带头人，原则上培育对象年龄不超过 60 周岁。2015年以前的新型职业农民学员可以报名参加今年的培训。（含2015年学员）</w:t>
      </w:r>
    </w:p>
    <w:p>
      <w:pPr>
        <w:numPr>
          <w:ilvl w:val="0"/>
          <w:numId w:val="0"/>
        </w:numPr>
        <w:wordWrap w:val="0"/>
        <w:autoSpaceDE/>
        <w:autoSpaceDN/>
        <w:spacing w:before="0" w:after="160" w:line="360" w:lineRule="auto"/>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2.现代青年农场主。具有一定的产业基础，具有高中及以上学历（或相当于高中），年龄在 18-45 周岁之间的种养大户、家庭农场经营者、农民合作社骨干、返乡创业大学生、中高职毕业生、返乡农民工和退伍军人等。</w:t>
      </w:r>
    </w:p>
    <w:p>
      <w:pPr>
        <w:numPr>
          <w:ilvl w:val="0"/>
          <w:numId w:val="0"/>
        </w:numPr>
        <w:wordWrap w:val="0"/>
        <w:autoSpaceDE/>
        <w:autoSpaceDN/>
        <w:spacing w:before="0" w:after="160" w:line="360" w:lineRule="auto"/>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（二）科学组织培训。</w:t>
      </w:r>
      <w:r>
        <w:rPr>
          <w:rFonts w:hint="default" w:ascii="宋体" w:hAnsi="宋体" w:eastAsia="宋体"/>
          <w:color w:val="000000"/>
          <w:position w:val="0"/>
          <w:sz w:val="32"/>
          <w:szCs w:val="32"/>
        </w:rPr>
        <w:t xml:space="preserve"> 一是规范开展培训。按照公共基础、专业技能、能力拓展、实训操作、视野开拓五个模块构建培训课程。 二是丰富培训内容。突出职业道德素养、团队精神、绿色发展理念、信息化应用等综合素质培养，强化农业科技应用能力和创新发展能力，提升品牌创建、市场营销等现代农业经营管理能力。三是强化实践教学。满足农民学员多元化需求，坚持按需施教，推行启发式和案例教学。</w:t>
      </w:r>
    </w:p>
    <w:p>
      <w:pPr>
        <w:numPr>
          <w:ilvl w:val="0"/>
          <w:numId w:val="0"/>
        </w:numPr>
        <w:wordWrap w:val="0"/>
        <w:autoSpaceDE/>
        <w:autoSpaceDN/>
        <w:spacing w:before="0" w:after="160" w:line="360" w:lineRule="auto"/>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（三）创新培育机制。</w:t>
      </w:r>
      <w:r>
        <w:rPr>
          <w:rFonts w:hint="default" w:ascii="宋体" w:hAnsi="宋体" w:eastAsia="宋体"/>
          <w:color w:val="000000"/>
          <w:position w:val="0"/>
          <w:sz w:val="32"/>
          <w:szCs w:val="32"/>
        </w:rPr>
        <w:t>根据我县主导和优势产业发展需求，按产业类型组建培训班，统筹培育各类型职业农民；实行分段培育，实行“一点两线、全程分段”模式，即以产业发展为立足点，以生产技能和经营管理水平提升为两条主线，在产业周期内分阶段组织集中培训、实训实习、参观考察和生产实践，紧密结合农技推广补助项目，开展实训基地和田间学校建设；充分发挥农民科技教育培训中心（农广校）培育主体作用，积极协调各类资源，形成一主多元培训模式 。</w:t>
      </w:r>
    </w:p>
    <w:p>
      <w:pPr>
        <w:numPr>
          <w:ilvl w:val="0"/>
          <w:numId w:val="0"/>
        </w:numPr>
        <w:wordWrap w:val="0"/>
        <w:autoSpaceDE/>
        <w:autoSpaceDN/>
        <w:spacing w:before="0" w:after="160" w:line="560" w:lineRule="exact"/>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（四）利用信息化手段。</w:t>
      </w:r>
      <w:r>
        <w:rPr>
          <w:rFonts w:hint="default" w:ascii="宋体" w:hAnsi="宋体" w:eastAsia="宋体"/>
          <w:color w:val="000000"/>
          <w:position w:val="0"/>
          <w:sz w:val="32"/>
          <w:szCs w:val="32"/>
        </w:rPr>
        <w:t>将“云上智农”APP和“农业农村部新型农业经营主体直报系统”作为学员学习新知识、查询新信息平台，全面提升农民信息化应用水平。今年所有的培训班、培育学员、教师课程安排均要求实现上线可查。</w:t>
      </w:r>
    </w:p>
    <w:p>
      <w:pPr>
        <w:numPr>
          <w:ilvl w:val="0"/>
          <w:numId w:val="0"/>
        </w:numPr>
        <w:wordWrap w:val="0"/>
        <w:autoSpaceDE/>
        <w:autoSpaceDN/>
        <w:spacing w:before="0" w:after="160" w:line="360" w:lineRule="auto"/>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（五）加强队伍管理与延伸服务。</w:t>
      </w:r>
    </w:p>
    <w:p>
      <w:pPr>
        <w:numPr>
          <w:ilvl w:val="0"/>
          <w:numId w:val="0"/>
        </w:numPr>
        <w:wordWrap w:val="0"/>
        <w:autoSpaceDE/>
        <w:autoSpaceDN/>
        <w:spacing w:before="0" w:after="160" w:line="360" w:lineRule="auto"/>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成立县新型职业农民资格评审委员会：</w:t>
      </w:r>
    </w:p>
    <w:p>
      <w:pPr>
        <w:numPr>
          <w:ilvl w:val="0"/>
          <w:numId w:val="0"/>
        </w:numPr>
        <w:wordWrap w:val="0"/>
        <w:autoSpaceDE/>
        <w:autoSpaceDN/>
        <w:spacing w:before="0" w:after="160" w:line="360" w:lineRule="auto"/>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主任：孔祥禄、副主任：王天翼。</w:t>
      </w:r>
    </w:p>
    <w:p>
      <w:pPr>
        <w:numPr>
          <w:ilvl w:val="0"/>
          <w:numId w:val="0"/>
        </w:numPr>
        <w:wordWrap w:val="0"/>
        <w:autoSpaceDE/>
        <w:autoSpaceDN/>
        <w:spacing w:before="0" w:after="160" w:line="360" w:lineRule="auto"/>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成员：姜志强、李遵杰、王玉波、吴国林、张成华、史峰、张庆海、丁凯、马楠、洪妍、付连江、杨录威、吴丽馥、袁永林、申玉华、孙国范。经过培训的新型农业经营主体带头人和现代青年农场主，可自愿提出认定申请，按程序开展认定管理工作。由县新型职业农民资格评审委员会评审，经县新型职业农民培育工程领导小组认定通过后，颁发《新型职业农民资格证书》；二是健全完善新型职业农民培育信息档案和数据库，及时录入基本情况、教育培训、产业发展、政策扶持等信息，建立新型职业农民队伍动态管理机制。 三是积极开展延伸服务，对接扶持政策，鼓励新型职业农民抱团发展，扩大产业规模，推动农技推广、农业科研院校等专家面向新型职业农民开展跟踪服务。</w:t>
      </w:r>
    </w:p>
    <w:p>
      <w:pPr>
        <w:numPr>
          <w:ilvl w:val="0"/>
          <w:numId w:val="0"/>
        </w:numPr>
        <w:wordWrap w:val="0"/>
        <w:autoSpaceDE/>
        <w:autoSpaceDN/>
        <w:spacing w:before="0" w:after="160" w:line="360" w:lineRule="auto"/>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（六）提升培育条件能力。</w:t>
      </w:r>
      <w:r>
        <w:rPr>
          <w:rFonts w:hint="default" w:ascii="宋体" w:hAnsi="宋体" w:eastAsia="宋体"/>
          <w:color w:val="000000"/>
          <w:position w:val="0"/>
          <w:sz w:val="32"/>
          <w:szCs w:val="32"/>
        </w:rPr>
        <w:t>一是完善师资选聘管理制度。在全国新型职业农民培育师资库和省级名师录成员中聘任教师，优先选取县内或邻近区域内的优秀师资力量。二是强化教学资源建设。按照分层开发、择优选用的原则，丰富教材和课程资源，教材以</w:t>
      </w:r>
      <w:r>
        <w:rPr>
          <w:rFonts w:hint="default" w:ascii="宋体" w:hAnsi="宋体" w:eastAsia="宋体"/>
          <w:color w:val="000000"/>
          <w:position w:val="0"/>
          <w:sz w:val="32"/>
          <w:szCs w:val="32"/>
          <w:shd w:val="clear" w:color="000000" w:fill="FFFFFF"/>
        </w:rPr>
        <w:t>农业部推荐教材目录中</w:t>
      </w:r>
      <w:r>
        <w:rPr>
          <w:rFonts w:hint="default" w:ascii="宋体" w:hAnsi="宋体" w:eastAsia="宋体"/>
          <w:color w:val="000000"/>
          <w:position w:val="0"/>
          <w:sz w:val="32"/>
          <w:szCs w:val="32"/>
        </w:rPr>
        <w:t>的统一印发教材为主，市、县农广校自编符合当地实际的乡土教材为辅。</w:t>
      </w:r>
    </w:p>
    <w:p>
      <w:pPr>
        <w:pStyle w:val="50"/>
        <w:numPr>
          <w:ilvl w:val="0"/>
          <w:numId w:val="0"/>
        </w:numPr>
        <w:wordWrap w:val="0"/>
        <w:autoSpaceDE/>
        <w:autoSpaceDN/>
        <w:spacing w:before="0" w:after="0" w:line="360" w:lineRule="auto"/>
        <w:ind w:left="0" w:right="0" w:firstLine="643"/>
        <w:jc w:val="left"/>
        <w:rPr>
          <w:rFonts w:hint="default" w:ascii="宋体" w:hAnsi="宋体" w:eastAsia="宋体"/>
          <w:b/>
          <w:color w:val="000000"/>
          <w:position w:val="0"/>
          <w:sz w:val="32"/>
          <w:szCs w:val="32"/>
        </w:rPr>
      </w:pPr>
      <w:r>
        <w:rPr>
          <w:rFonts w:hint="default" w:ascii="宋体" w:hAnsi="宋体" w:eastAsia="宋体"/>
          <w:b/>
          <w:color w:val="000000"/>
          <w:position w:val="0"/>
          <w:sz w:val="32"/>
          <w:szCs w:val="32"/>
        </w:rPr>
        <w:t>三、申报程序与分配</w:t>
      </w:r>
    </w:p>
    <w:p>
      <w:pPr>
        <w:numPr>
          <w:ilvl w:val="0"/>
          <w:numId w:val="0"/>
        </w:numPr>
        <w:wordWrap w:val="0"/>
        <w:autoSpaceDE/>
        <w:autoSpaceDN/>
        <w:spacing w:before="0" w:after="160" w:line="360" w:lineRule="auto"/>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（一）申报程序。</w:t>
      </w:r>
      <w:r>
        <w:rPr>
          <w:rFonts w:hint="default" w:ascii="宋体" w:hAnsi="宋体" w:eastAsia="宋体"/>
          <w:color w:val="000000"/>
          <w:position w:val="0"/>
          <w:sz w:val="32"/>
          <w:szCs w:val="32"/>
        </w:rPr>
        <w:t>县农村经济发展局围绕主导产业，组织开展摸底调研，乡镇农业站负责上报学员个人及培训项目准确信息，县农发局、县新型职业农民培育领导小组办公室对申请人基本情况进行审核，纳入培育对象库统一管理，科学确定年度培育规模和培育对象，再由县培训机构（农业广播电视学校）统一在线提交。优先安排示范家庭农场、示范农民合作社和农业骨干企业，以及农机化作业服务组织带头人参加培训。</w:t>
      </w:r>
    </w:p>
    <w:p>
      <w:pPr>
        <w:pStyle w:val="50"/>
        <w:numPr>
          <w:ilvl w:val="0"/>
          <w:numId w:val="0"/>
        </w:numPr>
        <w:wordWrap w:val="0"/>
        <w:autoSpaceDE/>
        <w:autoSpaceDN/>
        <w:spacing w:before="0" w:after="0" w:line="360" w:lineRule="auto"/>
        <w:ind w:left="0" w:right="0" w:firstLine="643"/>
        <w:jc w:val="left"/>
        <w:rPr>
          <w:rFonts w:hint="default" w:ascii="宋体" w:hAnsi="宋体" w:eastAsia="宋体"/>
          <w:color w:val="000000"/>
          <w:position w:val="0"/>
          <w:sz w:val="32"/>
          <w:szCs w:val="32"/>
        </w:rPr>
      </w:pPr>
      <w:r>
        <w:rPr>
          <w:rFonts w:hint="default" w:ascii="宋体" w:hAnsi="宋体" w:eastAsia="宋体"/>
          <w:b/>
          <w:color w:val="000000"/>
          <w:position w:val="0"/>
          <w:sz w:val="32"/>
          <w:szCs w:val="32"/>
        </w:rPr>
        <w:t>（二）分配原则。</w:t>
      </w:r>
      <w:r>
        <w:rPr>
          <w:rFonts w:hint="default" w:ascii="宋体" w:hAnsi="宋体" w:eastAsia="宋体"/>
          <w:color w:val="000000"/>
          <w:position w:val="0"/>
          <w:sz w:val="32"/>
          <w:szCs w:val="32"/>
        </w:rPr>
        <w:t>一是需求导向原则，各乡镇根据实际需求申报，计划安排数小于或等于申报数；二是总量控制原则，每个教学班最多不超过50人、最少不低于30人，数量服从质量。（各乡镇任务数见附件1）</w:t>
      </w:r>
    </w:p>
    <w:p>
      <w:pPr>
        <w:pStyle w:val="50"/>
        <w:numPr>
          <w:ilvl w:val="0"/>
          <w:numId w:val="0"/>
        </w:numPr>
        <w:wordWrap w:val="0"/>
        <w:autoSpaceDE/>
        <w:autoSpaceDN/>
        <w:spacing w:before="0" w:after="0" w:line="560" w:lineRule="exact"/>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四、职责分工</w:t>
      </w:r>
    </w:p>
    <w:p>
      <w:pPr>
        <w:pStyle w:val="50"/>
        <w:numPr>
          <w:ilvl w:val="0"/>
          <w:numId w:val="0"/>
        </w:numPr>
        <w:wordWrap w:val="0"/>
        <w:autoSpaceDE/>
        <w:autoSpaceDN/>
        <w:spacing w:before="0" w:after="0" w:line="560" w:lineRule="exact"/>
        <w:ind w:left="0" w:right="0" w:firstLine="630"/>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县农发局</w:t>
      </w:r>
      <w:r>
        <w:rPr>
          <w:rFonts w:hint="default" w:ascii="宋体" w:hAnsi="宋体" w:eastAsia="宋体"/>
          <w:color w:val="000000"/>
          <w:position w:val="0"/>
          <w:sz w:val="32"/>
          <w:szCs w:val="32"/>
        </w:rPr>
        <w:t>负责组织项目实施、制定实施方案、培训机构和实训基地的确定、县领导小组开展摸底调查和建立培育对象库、制定培育计划、统一录入管理信息库和建立培训档案、新型职业农民认定管理、组织落实扶持政策和跟踪服务。</w:t>
      </w:r>
      <w:r>
        <w:rPr>
          <w:rFonts w:hint="default" w:ascii="宋体" w:hAnsi="宋体" w:eastAsia="宋体"/>
          <w:b/>
          <w:color w:val="000000"/>
          <w:position w:val="0"/>
          <w:sz w:val="32"/>
          <w:szCs w:val="32"/>
        </w:rPr>
        <w:t>市农广校</w:t>
      </w:r>
      <w:r>
        <w:rPr>
          <w:rFonts w:hint="default" w:ascii="宋体" w:hAnsi="宋体" w:eastAsia="宋体"/>
          <w:color w:val="000000"/>
          <w:position w:val="0"/>
          <w:sz w:val="32"/>
          <w:szCs w:val="32"/>
        </w:rPr>
        <w:t>负责实施经营管理培训（地点，市农业特产学校）。</w:t>
      </w:r>
      <w:r>
        <w:rPr>
          <w:rFonts w:hint="default" w:ascii="宋体" w:hAnsi="宋体" w:eastAsia="宋体"/>
          <w:b/>
          <w:color w:val="000000"/>
          <w:position w:val="0"/>
          <w:sz w:val="32"/>
          <w:szCs w:val="32"/>
        </w:rPr>
        <w:t>县农广校</w:t>
      </w:r>
      <w:r>
        <w:rPr>
          <w:rFonts w:hint="default" w:ascii="宋体" w:hAnsi="宋体" w:eastAsia="宋体"/>
          <w:color w:val="000000"/>
          <w:position w:val="0"/>
          <w:sz w:val="32"/>
          <w:szCs w:val="32"/>
        </w:rPr>
        <w:t>（培训机构）负责培训的组织发动、优选师资、编选教材等工作，组织开展集中培训、实训实习、参观考察、生产实践等，切实保证培育质量。</w:t>
      </w:r>
      <w:r>
        <w:rPr>
          <w:rFonts w:hint="default" w:ascii="宋体" w:hAnsi="宋体" w:eastAsia="宋体"/>
          <w:b/>
          <w:color w:val="000000"/>
          <w:position w:val="0"/>
          <w:sz w:val="32"/>
          <w:szCs w:val="32"/>
        </w:rPr>
        <w:t>培训班</w:t>
      </w:r>
      <w:r>
        <w:rPr>
          <w:rFonts w:hint="default" w:ascii="宋体" w:hAnsi="宋体" w:eastAsia="宋体"/>
          <w:color w:val="000000"/>
          <w:position w:val="0"/>
          <w:sz w:val="32"/>
          <w:szCs w:val="32"/>
        </w:rPr>
        <w:t>按专业、地域可几个乡镇共同组建培训班，条件允许的乡镇也可独立组建培训班，各乡镇必须选派一名指导员,负责收集核对学员基本信息，引导农民网上报名，配合县培训机构完善学员登记表，组织学员报到，提高到课率，掌握学员动态，反馈学员意见，推荐优秀学员典型，全程跟踪本乡镇学员的培训活动，确保培训顺利进行。</w:t>
      </w:r>
    </w:p>
    <w:p>
      <w:pPr>
        <w:pStyle w:val="50"/>
        <w:numPr>
          <w:ilvl w:val="0"/>
          <w:numId w:val="0"/>
        </w:numPr>
        <w:wordWrap w:val="0"/>
        <w:autoSpaceDE/>
        <w:autoSpaceDN/>
        <w:spacing w:before="0" w:after="0" w:line="56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五、资金管理</w:t>
      </w:r>
    </w:p>
    <w:p>
      <w:pPr>
        <w:numPr>
          <w:ilvl w:val="0"/>
          <w:numId w:val="0"/>
        </w:numPr>
        <w:wordWrap w:val="0"/>
        <w:autoSpaceDE/>
        <w:autoSpaceDN/>
        <w:spacing w:before="0" w:after="160" w:line="560" w:lineRule="exact"/>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（一）资金补助范围和标准。</w:t>
      </w:r>
      <w:r>
        <w:rPr>
          <w:rFonts w:hint="default" w:ascii="宋体" w:hAnsi="宋体" w:eastAsia="宋体"/>
          <w:color w:val="000000"/>
          <w:position w:val="0"/>
          <w:sz w:val="32"/>
          <w:szCs w:val="32"/>
        </w:rPr>
        <w:t>新型农业经营主体带头人培育资金按照人均3000元标准测算，省农委、省财政给我县下拨农民培训资金114万元，全部用于15个乡镇开展2018年新型职业农民培育工作。</w:t>
      </w:r>
    </w:p>
    <w:p>
      <w:pPr>
        <w:pStyle w:val="50"/>
        <w:numPr>
          <w:ilvl w:val="0"/>
          <w:numId w:val="0"/>
        </w:numPr>
        <w:wordWrap w:val="0"/>
        <w:autoSpaceDE/>
        <w:autoSpaceDN/>
        <w:spacing w:before="0" w:after="0" w:line="360" w:lineRule="auto"/>
        <w:ind w:left="0" w:right="0" w:firstLine="643"/>
        <w:jc w:val="left"/>
        <w:rPr>
          <w:rFonts w:hint="default" w:ascii="宋体" w:hAnsi="宋体" w:eastAsia="宋体"/>
          <w:color w:val="000000"/>
          <w:position w:val="0"/>
          <w:sz w:val="32"/>
          <w:szCs w:val="32"/>
        </w:rPr>
      </w:pPr>
      <w:r>
        <w:rPr>
          <w:rFonts w:hint="default" w:ascii="宋体" w:hAnsi="宋体" w:eastAsia="宋体"/>
          <w:b/>
          <w:color w:val="000000"/>
          <w:position w:val="0"/>
          <w:sz w:val="32"/>
          <w:szCs w:val="32"/>
        </w:rPr>
        <w:t>（二）资金拨付。</w:t>
      </w:r>
      <w:r>
        <w:rPr>
          <w:rFonts w:hint="default" w:ascii="宋体" w:hAnsi="宋体" w:eastAsia="宋体"/>
          <w:color w:val="000000"/>
          <w:position w:val="0"/>
          <w:sz w:val="32"/>
          <w:szCs w:val="32"/>
        </w:rPr>
        <w:t>按照资金随着任务走的原则，省财政将资金拨付到县财政，县财政根据省《实施方案》要求，预拨40%的补助资金给项目单位，以便于项目启动与实施，同时按照项目进度及时兑付补助资金。要按照“钱随事走”原则，分培育环节和内容规范资金支出，补助到培训机构、培训基地、实训基地及相关支出等。</w:t>
      </w:r>
    </w:p>
    <w:p>
      <w:pPr>
        <w:numPr>
          <w:ilvl w:val="0"/>
          <w:numId w:val="0"/>
        </w:numPr>
        <w:wordWrap w:val="0"/>
        <w:autoSpaceDE/>
        <w:autoSpaceDN/>
        <w:spacing w:before="0" w:after="160" w:line="56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（三）资金用途和支出范围。</w:t>
      </w:r>
      <w:r>
        <w:rPr>
          <w:rFonts w:hint="default" w:ascii="宋体" w:hAnsi="宋体" w:eastAsia="宋体"/>
          <w:color w:val="000000"/>
          <w:position w:val="0"/>
          <w:sz w:val="32"/>
          <w:szCs w:val="32"/>
        </w:rPr>
        <w:t>补助资金主要用于教育培训、规范管理、信息化服务和后续跟踪服务等全过程培育。</w:t>
      </w:r>
      <w:r>
        <w:rPr>
          <w:rFonts w:hint="default" w:ascii="宋体" w:hAnsi="宋体" w:eastAsia="宋体"/>
          <w:b/>
          <w:color w:val="000000"/>
          <w:position w:val="0"/>
          <w:sz w:val="32"/>
          <w:szCs w:val="32"/>
        </w:rPr>
        <w:t>一是</w:t>
      </w:r>
      <w:r>
        <w:rPr>
          <w:rFonts w:hint="default" w:ascii="宋体" w:hAnsi="宋体" w:eastAsia="宋体"/>
          <w:color w:val="000000"/>
          <w:position w:val="0"/>
          <w:sz w:val="32"/>
          <w:szCs w:val="32"/>
        </w:rPr>
        <w:t>课堂培训及实训支出。包括师资讲课费</w:t>
      </w:r>
      <w:r>
        <w:rPr>
          <w:rFonts w:hint="default" w:ascii="宋体" w:hAnsi="宋体" w:eastAsia="宋体"/>
          <w:b/>
          <w:color w:val="000000"/>
          <w:position w:val="0"/>
          <w:sz w:val="32"/>
          <w:szCs w:val="32"/>
        </w:rPr>
        <w:t>、</w:t>
      </w:r>
      <w:r>
        <w:rPr>
          <w:rFonts w:hint="default" w:ascii="宋体" w:hAnsi="宋体" w:eastAsia="宋体"/>
          <w:color w:val="000000"/>
          <w:position w:val="0"/>
          <w:sz w:val="32"/>
          <w:szCs w:val="32"/>
        </w:rPr>
        <w:t>技术指导员补助费、食宿费、交通费（应含燃油费）,学员食宿及学习用品、实训用品、实训交通（含燃油费）及耗材,场租、教材及资料费等。</w:t>
      </w:r>
      <w:r>
        <w:rPr>
          <w:rFonts w:hint="default" w:ascii="宋体" w:hAnsi="宋体" w:eastAsia="宋体"/>
          <w:b/>
          <w:color w:val="000000"/>
          <w:position w:val="0"/>
          <w:sz w:val="32"/>
          <w:szCs w:val="32"/>
        </w:rPr>
        <w:t>二是</w:t>
      </w:r>
      <w:r>
        <w:rPr>
          <w:rFonts w:hint="default" w:ascii="宋体" w:hAnsi="宋体" w:eastAsia="宋体"/>
          <w:color w:val="000000"/>
          <w:position w:val="0"/>
          <w:sz w:val="32"/>
          <w:szCs w:val="32"/>
        </w:rPr>
        <w:t>组织学员在本地和异地参观交流支出。包括交通费（含燃油费）、食宿费、参观场地补偿费和人身意外保险费等相关支出。</w:t>
      </w:r>
      <w:r>
        <w:rPr>
          <w:rFonts w:hint="default" w:ascii="宋体" w:hAnsi="宋体" w:eastAsia="宋体"/>
          <w:b/>
          <w:color w:val="000000"/>
          <w:position w:val="0"/>
          <w:sz w:val="32"/>
          <w:szCs w:val="32"/>
        </w:rPr>
        <w:t>三是</w:t>
      </w:r>
      <w:r>
        <w:rPr>
          <w:rFonts w:hint="default" w:ascii="宋体" w:hAnsi="宋体" w:eastAsia="宋体"/>
          <w:color w:val="000000"/>
          <w:position w:val="0"/>
          <w:sz w:val="32"/>
          <w:szCs w:val="32"/>
        </w:rPr>
        <w:t>信息化手段利用及后续跟踪服务的相关支出（含教师及技术员微课、视频制作费）。</w:t>
      </w:r>
      <w:r>
        <w:rPr>
          <w:rFonts w:hint="default" w:ascii="宋体" w:hAnsi="宋体" w:eastAsia="宋体"/>
          <w:b/>
          <w:color w:val="000000"/>
          <w:position w:val="0"/>
          <w:sz w:val="32"/>
          <w:szCs w:val="32"/>
        </w:rPr>
        <w:t>四是</w:t>
      </w:r>
      <w:r>
        <w:rPr>
          <w:rFonts w:hint="default" w:ascii="宋体" w:hAnsi="宋体" w:eastAsia="宋体"/>
          <w:color w:val="000000"/>
          <w:position w:val="0"/>
          <w:sz w:val="32"/>
          <w:szCs w:val="32"/>
        </w:rPr>
        <w:t>开展需求调研、考评认定、专家论证、招生宣传、档案管理、技能鉴定、证书印制等培育管理工作的相关支出。原则上，第三和第四两项占资金支出总额的15%左右,由县财政按比例拨付给县级行政主管部门统一使用。</w:t>
      </w:r>
    </w:p>
    <w:p>
      <w:pPr>
        <w:numPr>
          <w:ilvl w:val="0"/>
          <w:numId w:val="0"/>
        </w:numPr>
        <w:wordWrap w:val="0"/>
        <w:autoSpaceDE/>
        <w:autoSpaceDN/>
        <w:spacing w:before="0" w:after="160" w:line="560" w:lineRule="exact"/>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教师和学员差旅费参照本地差旅费管理办法执行。</w:t>
      </w:r>
    </w:p>
    <w:p>
      <w:pPr>
        <w:numPr>
          <w:ilvl w:val="0"/>
          <w:numId w:val="0"/>
        </w:numPr>
        <w:wordWrap w:val="0"/>
        <w:autoSpaceDE/>
        <w:autoSpaceDN/>
        <w:spacing w:before="0" w:after="160" w:line="560" w:lineRule="exact"/>
        <w:ind w:left="0" w:right="0" w:firstLine="64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教师讲课费标准参考《关于印发辽宁省省直机关培训费管理办法的通知》（辽财行〔2017〕457号）文件的讲课费标准。副高级技术职称专业人员每学时最高不超过500元；正高级技术职称专业人员每学时最高不超过1000元；院士、全国知名专家每学时一般不超过1500元。讲师等其他人员讲课参照上述标准略低执行。</w:t>
      </w:r>
    </w:p>
    <w:p>
      <w:pPr>
        <w:pStyle w:val="51"/>
        <w:numPr>
          <w:ilvl w:val="0"/>
          <w:numId w:val="0"/>
        </w:numPr>
        <w:wordWrap w:val="0"/>
        <w:autoSpaceDE/>
        <w:autoSpaceDN/>
        <w:spacing w:before="0" w:after="160" w:line="56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（四）资金管理和监督。</w:t>
      </w:r>
      <w:r>
        <w:rPr>
          <w:rFonts w:hint="default" w:ascii="宋体" w:hAnsi="宋体" w:eastAsia="宋体"/>
          <w:color w:val="auto"/>
          <w:position w:val="0"/>
          <w:sz w:val="32"/>
          <w:szCs w:val="32"/>
        </w:rPr>
        <w:t>县新型职业农民培育领导小组、县培训机构建立资金管理监督机制。</w:t>
      </w:r>
      <w:r>
        <w:rPr>
          <w:rFonts w:hint="default" w:ascii="宋体" w:hAnsi="宋体" w:eastAsia="宋体"/>
          <w:color w:val="000000"/>
          <w:position w:val="0"/>
          <w:sz w:val="32"/>
          <w:szCs w:val="32"/>
        </w:rPr>
        <w:t>农发局、农广校积极与财政部门沟通，落实专项资金足额到位，确保新型职业农民培育工作任务保质保量完成。资金使用本着“谁使用、谁负责”的原则，做到专款专用，提高资金使用效益，对于挤占挪用、骗取套取补助资金等违法违规行为，对相关责任人依法依规严肃处理。</w:t>
      </w:r>
    </w:p>
    <w:p>
      <w:pPr>
        <w:pStyle w:val="51"/>
        <w:numPr>
          <w:ilvl w:val="0"/>
          <w:numId w:val="0"/>
        </w:numPr>
        <w:wordWrap w:val="0"/>
        <w:autoSpaceDE/>
        <w:autoSpaceDN/>
        <w:spacing w:before="0" w:after="160" w:line="560" w:lineRule="exact"/>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六、保障措施</w:t>
      </w:r>
    </w:p>
    <w:p>
      <w:pPr>
        <w:numPr>
          <w:ilvl w:val="0"/>
          <w:numId w:val="0"/>
        </w:numPr>
        <w:wordWrap w:val="0"/>
        <w:autoSpaceDE/>
        <w:autoSpaceDN/>
        <w:spacing w:before="0" w:after="160" w:line="360" w:lineRule="auto"/>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（一）加强组织领导 。</w:t>
      </w:r>
      <w:r>
        <w:rPr>
          <w:rFonts w:hint="default" w:ascii="宋体" w:hAnsi="宋体" w:eastAsia="宋体"/>
          <w:color w:val="000000"/>
          <w:position w:val="0"/>
          <w:sz w:val="32"/>
          <w:szCs w:val="32"/>
        </w:rPr>
        <w:t>县政府成立由主管县长谷凤威同志任组长，农业、财政等相关部门负责同志参加的新型职业农民培育工程领导小组，办公室设在农发局，统筹实施新型职业农民培育工作。负责制定2018年本县新型职业农民培育工程实施方案，认真组织实施，保证任务落实，并积极出台相关制度和扶持政策。各乡镇也要成立专门的领导小组，保证本乡镇的任务落实。</w:t>
      </w:r>
    </w:p>
    <w:p>
      <w:pPr>
        <w:numPr>
          <w:ilvl w:val="0"/>
          <w:numId w:val="0"/>
        </w:numPr>
        <w:wordWrap w:val="0"/>
        <w:autoSpaceDE/>
        <w:autoSpaceDN/>
        <w:spacing w:before="0" w:after="160" w:line="360" w:lineRule="auto"/>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新宾满族自治县新型职业农民培育工程领导小组：</w:t>
      </w:r>
    </w:p>
    <w:p>
      <w:pPr>
        <w:numPr>
          <w:ilvl w:val="0"/>
          <w:numId w:val="0"/>
        </w:numPr>
        <w:wordWrap w:val="0"/>
        <w:autoSpaceDE/>
        <w:autoSpaceDN/>
        <w:spacing w:before="0" w:after="160" w:line="360" w:lineRule="auto"/>
        <w:ind w:left="0" w:right="0" w:firstLine="128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组  长：谷凤威   县政府主管农业副县长</w:t>
      </w:r>
    </w:p>
    <w:p>
      <w:pPr>
        <w:numPr>
          <w:ilvl w:val="0"/>
          <w:numId w:val="0"/>
        </w:numPr>
        <w:wordWrap w:val="0"/>
        <w:autoSpaceDE/>
        <w:autoSpaceDN/>
        <w:spacing w:before="0" w:after="160" w:line="360" w:lineRule="auto"/>
        <w:ind w:left="0" w:right="0" w:firstLine="128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副组长：孔祥禄   县农发局局长</w:t>
      </w:r>
    </w:p>
    <w:p>
      <w:pPr>
        <w:numPr>
          <w:ilvl w:val="0"/>
          <w:numId w:val="0"/>
        </w:numPr>
        <w:wordWrap w:val="0"/>
        <w:autoSpaceDE/>
        <w:autoSpaceDN/>
        <w:spacing w:before="0" w:after="160" w:line="360" w:lineRule="auto"/>
        <w:ind w:left="0" w:right="0" w:firstLine="128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成  员：李有功　 县财政局局长</w:t>
      </w:r>
    </w:p>
    <w:p>
      <w:pPr>
        <w:numPr>
          <w:ilvl w:val="0"/>
          <w:numId w:val="0"/>
        </w:numPr>
        <w:wordWrap w:val="0"/>
        <w:autoSpaceDE/>
        <w:autoSpaceDN/>
        <w:spacing w:before="0" w:after="160" w:line="360" w:lineRule="auto"/>
        <w:ind w:left="0" w:right="0" w:firstLine="25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贾  深   县发展和改革局局长</w:t>
      </w:r>
    </w:p>
    <w:p>
      <w:pPr>
        <w:numPr>
          <w:ilvl w:val="0"/>
          <w:numId w:val="0"/>
        </w:numPr>
        <w:wordWrap w:val="0"/>
        <w:autoSpaceDE/>
        <w:autoSpaceDN/>
        <w:spacing w:before="0" w:after="160" w:line="360" w:lineRule="auto"/>
        <w:ind w:left="0" w:right="0" w:firstLine="25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钟英胜   县动监局局长</w:t>
      </w:r>
    </w:p>
    <w:p>
      <w:pPr>
        <w:numPr>
          <w:ilvl w:val="0"/>
          <w:numId w:val="0"/>
        </w:numPr>
        <w:wordWrap w:val="0"/>
        <w:autoSpaceDE/>
        <w:autoSpaceDN/>
        <w:spacing w:before="0" w:after="160" w:line="360" w:lineRule="auto"/>
        <w:ind w:left="0" w:right="0" w:firstLine="25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徐立栈   县人社局局长</w:t>
      </w:r>
    </w:p>
    <w:p>
      <w:pPr>
        <w:numPr>
          <w:ilvl w:val="0"/>
          <w:numId w:val="0"/>
        </w:numPr>
        <w:wordWrap w:val="0"/>
        <w:autoSpaceDE/>
        <w:autoSpaceDN/>
        <w:spacing w:before="0" w:after="160" w:line="360" w:lineRule="auto"/>
        <w:ind w:left="0" w:right="0" w:firstLine="25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牟仁杰   县科技局局长</w:t>
      </w:r>
    </w:p>
    <w:p>
      <w:pPr>
        <w:numPr>
          <w:ilvl w:val="0"/>
          <w:numId w:val="0"/>
        </w:numPr>
        <w:wordWrap w:val="0"/>
        <w:autoSpaceDE/>
        <w:autoSpaceDN/>
        <w:spacing w:before="0" w:after="160" w:line="360" w:lineRule="auto"/>
        <w:ind w:left="0" w:right="0" w:firstLine="25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王  颖   县扶贫办主任</w:t>
      </w:r>
    </w:p>
    <w:p>
      <w:pPr>
        <w:numPr>
          <w:ilvl w:val="0"/>
          <w:numId w:val="0"/>
        </w:numPr>
        <w:wordWrap w:val="0"/>
        <w:autoSpaceDE/>
        <w:autoSpaceDN/>
        <w:spacing w:before="0" w:after="160" w:line="360" w:lineRule="auto"/>
        <w:ind w:left="0" w:right="0" w:firstLine="25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王天翼   县农发局副书记</w:t>
      </w:r>
    </w:p>
    <w:p>
      <w:pPr>
        <w:numPr>
          <w:ilvl w:val="0"/>
          <w:numId w:val="0"/>
        </w:numPr>
        <w:wordWrap w:val="0"/>
        <w:autoSpaceDE/>
        <w:autoSpaceDN/>
        <w:spacing w:before="0" w:after="160" w:line="360" w:lineRule="auto"/>
        <w:ind w:left="0" w:right="0" w:firstLine="256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姚  峰   县财政局副局长</w:t>
      </w:r>
    </w:p>
    <w:p>
      <w:pPr>
        <w:numPr>
          <w:ilvl w:val="0"/>
          <w:numId w:val="0"/>
        </w:numPr>
        <w:wordWrap w:val="0"/>
        <w:autoSpaceDE/>
        <w:autoSpaceDN/>
        <w:spacing w:before="0" w:after="160" w:line="360" w:lineRule="auto"/>
        <w:ind w:left="0" w:right="0" w:firstLine="64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领导小组办公室设在县农发局，主任由县农发局局长孔祥禄担任，副主任由县农发局副书记王天翼担任。成员由姜志强、王玉波、张庆海、丁凯、马楠、付连江组成。办公室丁凯、马楠负责职业农民培育具体工作。</w:t>
      </w:r>
    </w:p>
    <w:p>
      <w:pPr>
        <w:pStyle w:val="52"/>
        <w:numPr>
          <w:ilvl w:val="0"/>
          <w:numId w:val="0"/>
        </w:numPr>
        <w:wordWrap w:val="0"/>
        <w:autoSpaceDE/>
        <w:autoSpaceDN/>
        <w:spacing w:before="0" w:after="160" w:line="60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（二）加强制度建设。</w:t>
      </w:r>
      <w:r>
        <w:rPr>
          <w:rFonts w:hint="default" w:ascii="宋体" w:hAnsi="宋体" w:eastAsia="宋体"/>
          <w:color w:val="000000"/>
          <w:position w:val="0"/>
          <w:sz w:val="32"/>
          <w:szCs w:val="32"/>
        </w:rPr>
        <w:t>一是建立多方制衡的运行机制。在县农发局、县财政局、农业广播电视学校、各教学班、实训基地、参训对象之间建立制衡机制。农发局与培训机构、实训基地签订协议，明确责任和义务。举报电话等信息在县政府网站等相关媒体向社会公开，（新宾县公开举报监督电话：55022901、55023862）接受群众监督。二是建立指导员制度。每个班要配备一名技术指导员，组织技术学习和实训实习，并与培育对象建立长期联系以及帮助解决技术问题。三是实行规范化管理。按规定完成学员系统录入和完善培育系统，建立健全培训档案及各项规章制度，执行学员网上培育满意度评价模式。</w:t>
      </w:r>
    </w:p>
    <w:p>
      <w:pPr>
        <w:pStyle w:val="52"/>
        <w:numPr>
          <w:ilvl w:val="0"/>
          <w:numId w:val="0"/>
        </w:numPr>
        <w:wordWrap w:val="0"/>
        <w:autoSpaceDE/>
        <w:autoSpaceDN/>
        <w:spacing w:before="0" w:after="160" w:line="600" w:lineRule="exact"/>
        <w:ind w:left="0" w:right="0" w:firstLine="643"/>
        <w:jc w:val="both"/>
        <w:rPr>
          <w:rFonts w:hint="default" w:ascii="宋体" w:hAnsi="宋体" w:eastAsia="宋体"/>
          <w:b/>
          <w:color w:val="000000"/>
          <w:position w:val="0"/>
          <w:sz w:val="32"/>
          <w:szCs w:val="32"/>
        </w:rPr>
      </w:pPr>
      <w:r>
        <w:rPr>
          <w:rFonts w:hint="default" w:ascii="宋体" w:hAnsi="宋体" w:eastAsia="宋体"/>
          <w:b/>
          <w:color w:val="000000"/>
          <w:position w:val="0"/>
          <w:sz w:val="32"/>
          <w:szCs w:val="32"/>
        </w:rPr>
        <w:t>（三）加大政策支持。</w:t>
      </w:r>
    </w:p>
    <w:p>
      <w:pPr>
        <w:pStyle w:val="52"/>
        <w:numPr>
          <w:ilvl w:val="0"/>
          <w:numId w:val="0"/>
        </w:numPr>
        <w:wordWrap w:val="0"/>
        <w:autoSpaceDE/>
        <w:autoSpaceDN/>
        <w:spacing w:before="0" w:after="160" w:line="600" w:lineRule="exact"/>
        <w:ind w:left="0" w:right="0" w:firstLine="640"/>
        <w:jc w:val="both"/>
        <w:rPr>
          <w:rFonts w:hint="default" w:ascii="宋体" w:hAnsi="宋体" w:eastAsia="宋体"/>
          <w:b/>
          <w:color w:val="000000"/>
          <w:position w:val="0"/>
          <w:sz w:val="32"/>
          <w:szCs w:val="32"/>
        </w:rPr>
      </w:pPr>
      <w:r>
        <w:rPr>
          <w:rFonts w:hint="default" w:ascii="宋体" w:hAnsi="宋体" w:eastAsia="宋体"/>
          <w:color w:val="000000"/>
          <w:position w:val="0"/>
          <w:sz w:val="32"/>
          <w:szCs w:val="32"/>
        </w:rPr>
        <w:t>政策扶持是新型职业农民培育的重要环节和必要保障。县政府牵头</w:t>
      </w:r>
      <w:r>
        <w:rPr>
          <w:rFonts w:hint="default" w:ascii="宋体" w:hAnsi="宋体" w:eastAsia="宋体"/>
          <w:color w:val="auto"/>
          <w:position w:val="0"/>
          <w:sz w:val="32"/>
          <w:szCs w:val="32"/>
        </w:rPr>
        <w:t>，各部门通力合作，落实扶持政策</w:t>
      </w:r>
      <w:r>
        <w:rPr>
          <w:rFonts w:hint="default" w:ascii="宋体" w:hAnsi="宋体" w:eastAsia="宋体"/>
          <w:color w:val="000000"/>
          <w:position w:val="0"/>
          <w:sz w:val="32"/>
          <w:szCs w:val="32"/>
        </w:rPr>
        <w:t>，形成政策合力，促进新型职业农民健康成长。农发局积极对接扶持政策，引导土地流转、</w:t>
      </w:r>
      <w:r>
        <w:rPr>
          <w:rFonts w:hint="default" w:ascii="宋体" w:hAnsi="宋体" w:eastAsia="宋体"/>
          <w:color w:val="auto"/>
          <w:position w:val="0"/>
          <w:sz w:val="32"/>
          <w:szCs w:val="32"/>
        </w:rPr>
        <w:t>产业扶持、人才奖励激励、金融保险等扶持政策优先向新型职业农民倾斜，争取专项扶持政策，</w:t>
      </w:r>
      <w:r>
        <w:rPr>
          <w:rFonts w:hint="default" w:ascii="宋体" w:hAnsi="宋体" w:eastAsia="宋体"/>
          <w:color w:val="000000"/>
          <w:position w:val="0"/>
          <w:sz w:val="32"/>
          <w:szCs w:val="32"/>
        </w:rPr>
        <w:t>并落实到位。</w:t>
      </w:r>
    </w:p>
    <w:p>
      <w:pPr>
        <w:numPr>
          <w:ilvl w:val="0"/>
          <w:numId w:val="0"/>
        </w:numPr>
        <w:wordWrap w:val="0"/>
        <w:autoSpaceDE/>
        <w:autoSpaceDN/>
        <w:spacing w:before="0" w:after="160" w:line="60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（四）强化绩效考评。</w:t>
      </w:r>
      <w:r>
        <w:rPr>
          <w:rFonts w:hint="default" w:ascii="宋体" w:hAnsi="宋体" w:eastAsia="宋体"/>
          <w:color w:val="000000"/>
          <w:position w:val="0"/>
          <w:sz w:val="32"/>
          <w:szCs w:val="32"/>
        </w:rPr>
        <w:t>县政府将我县2018年新型职业农民培育工作纳入农业农村经济工作目标考核。进一步完善新型职业农民培育工作绩效考核指标体系，全面开展绩效考核工作。依托全国农业科教云平台和“云上智农”APP，对所有培训班次的培训教师、培训基地、培训班组织和培训效果实行线上考核。</w:t>
      </w:r>
    </w:p>
    <w:p>
      <w:pPr>
        <w:numPr>
          <w:ilvl w:val="0"/>
          <w:numId w:val="0"/>
        </w:numPr>
        <w:wordWrap w:val="0"/>
        <w:autoSpaceDE/>
        <w:autoSpaceDN/>
        <w:spacing w:before="0" w:after="160" w:line="600" w:lineRule="exact"/>
        <w:ind w:left="0" w:right="0" w:firstLine="643"/>
        <w:jc w:val="both"/>
        <w:rPr>
          <w:rFonts w:hint="default" w:ascii="宋体" w:hAnsi="宋体" w:eastAsia="宋体"/>
          <w:color w:val="000000"/>
          <w:position w:val="0"/>
          <w:sz w:val="32"/>
          <w:szCs w:val="32"/>
        </w:rPr>
      </w:pPr>
      <w:r>
        <w:rPr>
          <w:rFonts w:hint="default" w:ascii="宋体" w:hAnsi="宋体" w:eastAsia="宋体"/>
          <w:b/>
          <w:color w:val="000000"/>
          <w:position w:val="0"/>
          <w:sz w:val="32"/>
          <w:szCs w:val="32"/>
        </w:rPr>
        <w:t>（五）注重</w:t>
      </w:r>
      <w:r>
        <w:rPr>
          <w:rFonts w:hint="default" w:ascii="宋体" w:hAnsi="宋体" w:eastAsia="宋体"/>
          <w:b/>
          <w:color w:val="auto"/>
          <w:position w:val="0"/>
          <w:sz w:val="32"/>
          <w:szCs w:val="32"/>
        </w:rPr>
        <w:t>电视媒体宣传和典型示范。</w:t>
      </w:r>
      <w:r>
        <w:rPr>
          <w:rFonts w:hint="default" w:ascii="宋体" w:hAnsi="宋体" w:eastAsia="宋体"/>
          <w:color w:val="000000"/>
          <w:position w:val="0"/>
          <w:sz w:val="32"/>
          <w:szCs w:val="32"/>
        </w:rPr>
        <w:t>加大对新型职业农民的奖励激励和典型宣传力度，利用各类媒体资源，围绕主体主线，宣传大事、新事、实事，努力营造良好氛围。</w:t>
      </w:r>
    </w:p>
    <w:p>
      <w:pPr>
        <w:numPr>
          <w:ilvl w:val="0"/>
          <w:numId w:val="0"/>
        </w:numPr>
        <w:wordWrap w:val="0"/>
        <w:autoSpaceDE/>
        <w:autoSpaceDN/>
        <w:spacing w:before="0" w:after="160" w:line="600" w:lineRule="exact"/>
        <w:ind w:left="0" w:right="0" w:firstLine="640"/>
        <w:jc w:val="both"/>
        <w:rPr>
          <w:rFonts w:hint="default" w:ascii="宋体" w:hAnsi="宋体" w:eastAsia="宋体"/>
          <w:b/>
          <w:color w:val="000000"/>
          <w:position w:val="0"/>
          <w:sz w:val="32"/>
          <w:szCs w:val="32"/>
        </w:rPr>
      </w:pPr>
      <w:r>
        <w:rPr>
          <w:rFonts w:hint="default" w:ascii="宋体" w:hAnsi="宋体" w:eastAsia="宋体"/>
          <w:color w:val="000000"/>
          <w:position w:val="0"/>
          <w:sz w:val="32"/>
          <w:szCs w:val="32"/>
        </w:rPr>
        <w:t>新宾县农广校与县电视台合作，记者全程跟踪报道2018年新型职业农民培育活动和典型学员后续创业发展之路、成功经验及产业成果，通过新宾电视台以新闻形式及时播报，典型学员专题片通过《致富经》栏目积极宣传我县新型职业农民培育培育成果。</w:t>
      </w:r>
    </w:p>
    <w:p>
      <w:pPr>
        <w:numPr>
          <w:ilvl w:val="0"/>
          <w:numId w:val="0"/>
        </w:numPr>
        <w:wordWrap w:val="0"/>
        <w:autoSpaceDE/>
        <w:autoSpaceDN/>
        <w:spacing w:before="0" w:after="160" w:line="360" w:lineRule="auto"/>
        <w:ind w:right="0" w:firstLine="2560" w:firstLineChars="800"/>
        <w:jc w:val="both"/>
        <w:rPr>
          <w:rFonts w:hint="eastAsia" w:ascii="宋体" w:hAnsi="Times New Roman" w:eastAsia="宋体"/>
          <w:color w:val="000000"/>
          <w:position w:val="0"/>
          <w:sz w:val="32"/>
          <w:szCs w:val="32"/>
          <w:lang w:eastAsia="zh-CN"/>
        </w:rPr>
      </w:pPr>
      <w:r>
        <w:rPr>
          <w:rFonts w:hint="eastAsia" w:ascii="宋体" w:eastAsia="宋体"/>
          <w:color w:val="000000"/>
          <w:position w:val="0"/>
          <w:sz w:val="32"/>
          <w:szCs w:val="32"/>
          <w:lang w:eastAsia="zh-CN"/>
        </w:rPr>
        <w:t>承办单位：新宾满族自治县农业农村局</w:t>
      </w:r>
    </w:p>
    <w:p>
      <w:pPr>
        <w:numPr>
          <w:ilvl w:val="0"/>
          <w:numId w:val="0"/>
        </w:numPr>
        <w:wordWrap w:val="0"/>
        <w:autoSpaceDE/>
        <w:autoSpaceDN/>
        <w:spacing w:before="0" w:after="160" w:line="360" w:lineRule="auto"/>
        <w:ind w:right="0"/>
        <w:jc w:val="both"/>
        <w:rPr>
          <w:rFonts w:hint="default" w:ascii="宋体" w:hAnsi="Times New Roman" w:eastAsia="宋体"/>
          <w:color w:val="000000"/>
          <w:position w:val="0"/>
          <w:sz w:val="32"/>
          <w:szCs w:val="32"/>
          <w:lang w:val="en-US" w:eastAsia="zh-CN"/>
        </w:rPr>
      </w:pPr>
      <w:r>
        <w:rPr>
          <w:rFonts w:hint="eastAsia" w:ascii="宋体" w:eastAsia="宋体"/>
          <w:color w:val="000000"/>
          <w:position w:val="0"/>
          <w:sz w:val="32"/>
          <w:szCs w:val="32"/>
          <w:lang w:val="en-US" w:eastAsia="zh-CN"/>
        </w:rPr>
        <w:t xml:space="preserve">                承办负责人：贺树新  </w:t>
      </w:r>
    </w:p>
    <w:p>
      <w:pPr>
        <w:numPr>
          <w:ilvl w:val="0"/>
          <w:numId w:val="0"/>
        </w:numPr>
        <w:wordWrap w:val="0"/>
        <w:autoSpaceDE/>
        <w:autoSpaceDN/>
        <w:spacing w:before="0" w:after="160" w:line="360" w:lineRule="auto"/>
        <w:ind w:left="0" w:right="0" w:firstLine="448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rPr>
        <w:t>二0一八年十月十五日</w:t>
      </w:r>
    </w:p>
    <w:p>
      <w:pPr>
        <w:numPr>
          <w:ilvl w:val="0"/>
          <w:numId w:val="0"/>
        </w:numPr>
        <w:wordWrap w:val="0"/>
        <w:autoSpaceDE/>
        <w:autoSpaceDN/>
        <w:spacing w:before="0" w:after="160" w:line="360" w:lineRule="auto"/>
        <w:ind w:left="0" w:right="0" w:firstLine="0"/>
        <w:jc w:val="both"/>
        <w:rPr>
          <w:rFonts w:hint="default" w:ascii="宋体" w:hAnsi="Times New Roman" w:eastAsia="Times New Roman"/>
          <w:color w:val="000000"/>
          <w:position w:val="0"/>
          <w:sz w:val="32"/>
          <w:szCs w:val="32"/>
          <w:u w:val="single"/>
        </w:rPr>
      </w:pPr>
    </w:p>
    <w:p>
      <w:pPr>
        <w:numPr>
          <w:ilvl w:val="0"/>
          <w:numId w:val="0"/>
        </w:numPr>
        <w:wordWrap w:val="0"/>
        <w:autoSpaceDE/>
        <w:autoSpaceDN/>
        <w:spacing w:before="0" w:after="160" w:line="360" w:lineRule="auto"/>
        <w:ind w:left="0" w:right="0" w:firstLine="0"/>
        <w:jc w:val="both"/>
        <w:rPr>
          <w:rFonts w:hint="default" w:ascii="宋体" w:hAnsi="Times New Roman" w:eastAsia="Times New Roman"/>
          <w:color w:val="000000"/>
          <w:position w:val="0"/>
          <w:sz w:val="32"/>
          <w:szCs w:val="32"/>
          <w:u w:val="single"/>
        </w:rPr>
      </w:pPr>
    </w:p>
    <w:p>
      <w:pPr>
        <w:numPr>
          <w:ilvl w:val="0"/>
          <w:numId w:val="0"/>
        </w:numPr>
        <w:wordWrap w:val="0"/>
        <w:autoSpaceDE/>
        <w:autoSpaceDN/>
        <w:spacing w:before="0" w:after="160" w:line="360" w:lineRule="auto"/>
        <w:ind w:left="0" w:right="0" w:firstLine="0"/>
        <w:jc w:val="both"/>
        <w:rPr>
          <w:rFonts w:hint="default" w:ascii="宋体" w:hAnsi="宋体" w:eastAsia="宋体"/>
          <w:color w:val="000000"/>
          <w:position w:val="0"/>
          <w:sz w:val="32"/>
          <w:szCs w:val="32"/>
        </w:rPr>
      </w:pPr>
      <w:r>
        <w:rPr>
          <w:rFonts w:hint="default" w:ascii="宋体" w:hAnsi="宋体" w:eastAsia="宋体"/>
          <w:color w:val="000000"/>
          <w:position w:val="0"/>
          <w:sz w:val="32"/>
          <w:szCs w:val="32"/>
          <w:u w:val="single"/>
        </w:rPr>
        <w:t xml:space="preserve">抄报：市农委、市财政局、谷副县长                        </w:t>
      </w:r>
    </w:p>
    <w:p>
      <w:pPr>
        <w:numPr>
          <w:ilvl w:val="0"/>
          <w:numId w:val="0"/>
        </w:numPr>
        <w:wordWrap w:val="0"/>
        <w:autoSpaceDE/>
        <w:autoSpaceDN/>
        <w:spacing w:before="0" w:after="160" w:line="600" w:lineRule="exact"/>
        <w:ind w:left="0" w:right="0" w:firstLine="0"/>
        <w:jc w:val="both"/>
        <w:rPr>
          <w:rFonts w:hint="default" w:ascii="宋体" w:hAnsi="宋体" w:eastAsia="宋体"/>
          <w:color w:val="000000"/>
          <w:position w:val="0"/>
          <w:sz w:val="32"/>
          <w:szCs w:val="32"/>
          <w:u w:val="single"/>
        </w:rPr>
      </w:pPr>
      <w:r>
        <w:rPr>
          <w:rFonts w:hint="default" w:ascii="宋体" w:hAnsi="宋体" w:eastAsia="宋体"/>
          <w:color w:val="000000"/>
          <w:position w:val="0"/>
          <w:sz w:val="32"/>
          <w:szCs w:val="32"/>
          <w:u w:val="single"/>
        </w:rPr>
        <w:t>新宾满族自治县农村经济发展局        2018年10月15日</w:t>
      </w:r>
    </w:p>
    <w:p>
      <w:pPr>
        <w:numPr>
          <w:ilvl w:val="0"/>
          <w:numId w:val="0"/>
        </w:numPr>
        <w:wordWrap w:val="0"/>
        <w:autoSpaceDE/>
        <w:autoSpaceDN/>
        <w:spacing w:before="0" w:after="160" w:line="400" w:lineRule="exact"/>
        <w:ind w:left="0" w:right="0" w:firstLine="0"/>
        <w:jc w:val="left"/>
        <w:rPr>
          <w:rFonts w:hint="default" w:ascii="宋体" w:hAnsi="Times New Roman" w:eastAsia="Times New Roman"/>
          <w:color w:val="000000" w:themeColor="text1"/>
          <w:spacing w:val="-10"/>
          <w:position w:val="0"/>
          <w:sz w:val="32"/>
          <w:szCs w:val="32"/>
          <w14:textFill>
            <w14:solidFill>
              <w14:schemeClr w14:val="tx1"/>
            </w14:solidFill>
          </w14:textFill>
        </w:rPr>
      </w:pPr>
    </w:p>
    <w:p>
      <w:pPr>
        <w:numPr>
          <w:ilvl w:val="0"/>
          <w:numId w:val="0"/>
        </w:numPr>
        <w:wordWrap w:val="0"/>
        <w:autoSpaceDE/>
        <w:autoSpaceDN/>
        <w:spacing w:before="0" w:after="160" w:line="400" w:lineRule="exact"/>
        <w:ind w:left="0" w:right="0" w:firstLine="0"/>
        <w:jc w:val="left"/>
        <w:rPr>
          <w:rFonts w:hint="default" w:ascii="宋体" w:hAnsi="Times New Roman" w:eastAsia="Times New Roman"/>
          <w:color w:val="000000" w:themeColor="text1"/>
          <w:spacing w:val="-10"/>
          <w:position w:val="0"/>
          <w:sz w:val="32"/>
          <w:szCs w:val="32"/>
          <w14:textFill>
            <w14:solidFill>
              <w14:schemeClr w14:val="tx1"/>
            </w14:solidFill>
          </w14:textFill>
        </w:rPr>
      </w:pPr>
    </w:p>
    <w:p>
      <w:pPr>
        <w:numPr>
          <w:ilvl w:val="0"/>
          <w:numId w:val="0"/>
        </w:numPr>
        <w:wordWrap w:val="0"/>
        <w:autoSpaceDE/>
        <w:autoSpaceDN/>
        <w:spacing w:before="0" w:after="160" w:line="400" w:lineRule="exact"/>
        <w:ind w:left="0" w:right="0" w:firstLine="0"/>
        <w:jc w:val="left"/>
        <w:rPr>
          <w:rFonts w:hint="default" w:ascii="宋体" w:hAnsi="Times New Roman" w:eastAsia="Times New Roman"/>
          <w:color w:val="000000" w:themeColor="text1"/>
          <w:spacing w:val="-10"/>
          <w:position w:val="0"/>
          <w:sz w:val="32"/>
          <w:szCs w:val="32"/>
          <w14:textFill>
            <w14:solidFill>
              <w14:schemeClr w14:val="tx1"/>
            </w14:solidFill>
          </w14:textFill>
        </w:rPr>
      </w:pPr>
    </w:p>
    <w:p>
      <w:pPr>
        <w:numPr>
          <w:ilvl w:val="0"/>
          <w:numId w:val="0"/>
        </w:numPr>
        <w:wordWrap w:val="0"/>
        <w:autoSpaceDE/>
        <w:autoSpaceDN/>
        <w:spacing w:before="0" w:after="160" w:line="400" w:lineRule="exact"/>
        <w:ind w:left="0" w:right="0" w:firstLine="0"/>
        <w:jc w:val="left"/>
        <w:rPr>
          <w:rFonts w:hint="default" w:ascii="宋体" w:hAnsi="Times New Roman" w:eastAsia="Times New Roman"/>
          <w:color w:val="000000" w:themeColor="text1"/>
          <w:spacing w:val="-10"/>
          <w:position w:val="0"/>
          <w:sz w:val="32"/>
          <w:szCs w:val="32"/>
          <w14:textFill>
            <w14:solidFill>
              <w14:schemeClr w14:val="tx1"/>
            </w14:solidFill>
          </w14:textFill>
        </w:rPr>
      </w:pPr>
    </w:p>
    <w:p>
      <w:pPr>
        <w:numPr>
          <w:ilvl w:val="0"/>
          <w:numId w:val="0"/>
        </w:numPr>
        <w:wordWrap w:val="0"/>
        <w:autoSpaceDE/>
        <w:autoSpaceDN/>
        <w:spacing w:before="0" w:after="160" w:line="400" w:lineRule="exact"/>
        <w:ind w:left="0" w:right="0" w:firstLine="0"/>
        <w:jc w:val="left"/>
        <w:rPr>
          <w:rFonts w:hint="default" w:ascii="宋体" w:hAnsi="Times New Roman" w:eastAsia="Times New Roman"/>
          <w:color w:val="000000" w:themeColor="text1"/>
          <w:spacing w:val="-10"/>
          <w:position w:val="0"/>
          <w:sz w:val="32"/>
          <w:szCs w:val="32"/>
          <w14:textFill>
            <w14:solidFill>
              <w14:schemeClr w14:val="tx1"/>
            </w14:solidFill>
          </w14:textFill>
        </w:rPr>
      </w:pPr>
    </w:p>
    <w:p>
      <w:pPr>
        <w:numPr>
          <w:ilvl w:val="0"/>
          <w:numId w:val="0"/>
        </w:numPr>
        <w:wordWrap w:val="0"/>
        <w:autoSpaceDE/>
        <w:autoSpaceDN/>
        <w:spacing w:before="0" w:after="160" w:line="400" w:lineRule="exact"/>
        <w:ind w:left="0" w:right="0" w:firstLine="0"/>
        <w:jc w:val="left"/>
        <w:rPr>
          <w:rFonts w:hint="default" w:ascii="宋体" w:hAnsi="宋体" w:eastAsia="宋体"/>
          <w:color w:val="000000" w:themeColor="text1"/>
          <w:spacing w:val="-10"/>
          <w:position w:val="0"/>
          <w:sz w:val="32"/>
          <w:szCs w:val="32"/>
          <w14:textFill>
            <w14:solidFill>
              <w14:schemeClr w14:val="tx1"/>
            </w14:solidFill>
          </w14:textFill>
        </w:rPr>
      </w:pPr>
      <w:r>
        <w:rPr>
          <w:rFonts w:hint="default" w:ascii="宋体" w:hAnsi="宋体" w:eastAsia="宋体"/>
          <w:color w:val="000000" w:themeColor="text1"/>
          <w:spacing w:val="-10"/>
          <w:position w:val="0"/>
          <w:sz w:val="32"/>
          <w:szCs w:val="32"/>
          <w14:textFill>
            <w14:solidFill>
              <w14:schemeClr w14:val="tx1"/>
            </w14:solidFill>
          </w14:textFill>
        </w:rPr>
        <w:t>附件1</w:t>
      </w:r>
    </w:p>
    <w:p>
      <w:pPr>
        <w:numPr>
          <w:ilvl w:val="0"/>
          <w:numId w:val="0"/>
        </w:numPr>
        <w:wordWrap w:val="0"/>
        <w:autoSpaceDE/>
        <w:autoSpaceDN/>
        <w:spacing w:before="0" w:after="160" w:line="440" w:lineRule="exact"/>
        <w:ind w:left="0" w:right="0" w:firstLine="0"/>
        <w:jc w:val="both"/>
        <w:rPr>
          <w:rFonts w:hint="default" w:ascii="宋体" w:hAnsi="宋体" w:eastAsia="宋体"/>
          <w:b/>
          <w:color w:val="000000" w:themeColor="text1"/>
          <w:position w:val="0"/>
          <w:sz w:val="44"/>
          <w:szCs w:val="44"/>
          <w14:textFill>
            <w14:solidFill>
              <w14:schemeClr w14:val="tx1"/>
            </w14:solidFill>
          </w14:textFill>
        </w:rPr>
      </w:pPr>
      <w:r>
        <w:rPr>
          <w:rFonts w:hint="default" w:ascii="宋体" w:hAnsi="宋体" w:eastAsia="宋体"/>
          <w:b/>
          <w:color w:val="000000" w:themeColor="text1"/>
          <w:position w:val="0"/>
          <w:sz w:val="44"/>
          <w:szCs w:val="44"/>
          <w14:textFill>
            <w14:solidFill>
              <w14:schemeClr w14:val="tx1"/>
            </w14:solidFill>
          </w14:textFill>
        </w:rPr>
        <w:t>2018年全县新型职业农民培育任务分解表</w:t>
      </w:r>
    </w:p>
    <w:p>
      <w:pPr>
        <w:numPr>
          <w:ilvl w:val="0"/>
          <w:numId w:val="0"/>
        </w:numPr>
        <w:wordWrap w:val="0"/>
        <w:autoSpaceDE/>
        <w:autoSpaceDN/>
        <w:spacing w:before="0" w:after="160" w:line="400" w:lineRule="exact"/>
        <w:ind w:left="0" w:right="0" w:firstLine="0"/>
        <w:jc w:val="center"/>
        <w:rPr>
          <w:rFonts w:hint="default" w:ascii="宋体" w:hAnsi="宋体" w:eastAsia="宋体"/>
          <w:color w:val="000000" w:themeColor="text1"/>
          <w:position w:val="0"/>
          <w:sz w:val="28"/>
          <w:szCs w:val="28"/>
          <w14:textFill>
            <w14:solidFill>
              <w14:schemeClr w14:val="tx1"/>
            </w14:solidFill>
          </w14:textFill>
        </w:rPr>
      </w:pPr>
    </w:p>
    <w:p>
      <w:pPr>
        <w:numPr>
          <w:ilvl w:val="0"/>
          <w:numId w:val="0"/>
        </w:numPr>
        <w:wordWrap w:val="0"/>
        <w:autoSpaceDE/>
        <w:autoSpaceDN/>
        <w:spacing w:before="0" w:after="160" w:line="400" w:lineRule="exact"/>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color w:val="000000" w:themeColor="text1"/>
          <w:position w:val="0"/>
          <w:sz w:val="28"/>
          <w:szCs w:val="28"/>
          <w14:textFill>
            <w14:solidFill>
              <w14:schemeClr w14:val="tx1"/>
            </w14:solidFill>
          </w14:textFill>
        </w:rPr>
        <w:t xml:space="preserve">                           </w:t>
      </w:r>
      <w:r>
        <w:rPr>
          <w:rFonts w:hint="default" w:ascii="宋体" w:hAnsi="Times New Roman" w:eastAsia="Times New Roman"/>
          <w:color w:val="000000" w:themeColor="text1"/>
          <w:position w:val="0"/>
          <w:sz w:val="28"/>
          <w:szCs w:val="28"/>
          <w14:textFill>
            <w14:solidFill>
              <w14:schemeClr w14:val="tx1"/>
            </w14:solidFill>
          </w14:textFill>
        </w:rPr>
        <w:t xml:space="preserve">            </w:t>
      </w:r>
      <w:r>
        <w:rPr>
          <w:rFonts w:hint="default" w:ascii="宋体" w:hAnsi="宋体" w:eastAsia="宋体"/>
          <w:color w:val="000000" w:themeColor="text1"/>
          <w:position w:val="0"/>
          <w:sz w:val="28"/>
          <w:szCs w:val="28"/>
          <w14:textFill>
            <w14:solidFill>
              <w14:schemeClr w14:val="tx1"/>
            </w14:solidFill>
          </w14:textFill>
        </w:rPr>
        <w:t xml:space="preserve"> 单位：人</w:t>
      </w:r>
    </w:p>
    <w:tbl>
      <w:tblPr>
        <w:tblStyle w:val="24"/>
        <w:tblpPr w:leftFromText="180" w:rightFromText="180" w:vertAnchor="text" w:horzAnchor="margin" w:tblpXSpec="left" w:tblpY="22"/>
        <w:tblOverlap w:val="never"/>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
        <w:gridCol w:w="3410"/>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序号</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乡镇</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培育人数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1</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新宾镇</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2</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红庙子</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3</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旺清门</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4</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响水河子</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5</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红升</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6</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北四平</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7</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永陵</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8</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榆树</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9</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上夹河</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10</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木器</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11</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南杂木</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12</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苇子峪</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13</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平顶山</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14</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大四平</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15</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下夹河</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　</w:t>
            </w: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r>
              <w:rPr>
                <w:rFonts w:hint="default" w:ascii="宋体" w:hAnsi="宋体" w:eastAsia="宋体"/>
                <w:b/>
                <w:color w:val="000000" w:themeColor="text1"/>
                <w:position w:val="0"/>
                <w:sz w:val="24"/>
                <w:szCs w:val="24"/>
                <w14:textFill>
                  <w14:solidFill>
                    <w14:schemeClr w14:val="tx1"/>
                  </w14:solidFill>
                </w14:textFill>
              </w:rPr>
              <w:t>总计</w:t>
            </w: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2"/>
                <w:szCs w:val="22"/>
                <w14:textFill>
                  <w14:solidFill>
                    <w14:schemeClr w14:val="tx1"/>
                  </w14:solidFill>
                </w14:textFill>
              </w:rPr>
            </w:pPr>
            <w:r>
              <w:rPr>
                <w:rFonts w:hint="default" w:ascii="宋体" w:hAnsi="宋体" w:eastAsia="宋体"/>
                <w:b/>
                <w:color w:val="000000" w:themeColor="text1"/>
                <w:position w:val="0"/>
                <w:sz w:val="22"/>
                <w:szCs w:val="22"/>
                <w14:textFill>
                  <w14:solidFill>
                    <w14:schemeClr w14:val="tx1"/>
                  </w14:solidFill>
                </w14:textFill>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color w:val="000000" w:themeColor="text1"/>
                <w:position w:val="0"/>
                <w:sz w:val="24"/>
                <w:szCs w:val="24"/>
                <w14:textFill>
                  <w14:solidFill>
                    <w14:schemeClr w14:val="tx1"/>
                  </w14:solidFill>
                </w14:textFill>
              </w:rPr>
            </w:pP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both"/>
              <w:rPr>
                <w:rFonts w:hint="default" w:ascii="宋体" w:hAnsi="宋体" w:eastAsia="宋体"/>
                <w:color w:val="000000" w:themeColor="text1"/>
                <w:position w:val="0"/>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color w:val="000000" w:themeColor="text1"/>
                <w:position w:val="0"/>
                <w:sz w:val="24"/>
                <w:szCs w:val="24"/>
                <w14:textFill>
                  <w14:solidFill>
                    <w14:schemeClr w14:val="tx1"/>
                  </w14:solidFill>
                </w14:textFill>
              </w:rPr>
            </w:pP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both"/>
              <w:rPr>
                <w:rFonts w:hint="default" w:ascii="宋体" w:hAnsi="宋体" w:eastAsia="宋体"/>
                <w:color w:val="000000" w:themeColor="text1"/>
                <w:position w:val="0"/>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color w:val="000000" w:themeColor="text1"/>
                <w:position w:val="0"/>
                <w:sz w:val="24"/>
                <w:szCs w:val="24"/>
                <w14:textFill>
                  <w14:solidFill>
                    <w14:schemeClr w14:val="tx1"/>
                  </w14:solidFill>
                </w14:textFill>
              </w:rPr>
            </w:pP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both"/>
              <w:rPr>
                <w:rFonts w:hint="default" w:ascii="宋体" w:hAnsi="宋体" w:eastAsia="宋体"/>
                <w:color w:val="000000" w:themeColor="text1"/>
                <w:position w:val="0"/>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color w:val="000000" w:themeColor="text1"/>
                <w:position w:val="0"/>
                <w:sz w:val="24"/>
                <w:szCs w:val="24"/>
                <w14:textFill>
                  <w14:solidFill>
                    <w14:schemeClr w14:val="tx1"/>
                  </w14:solidFill>
                </w14:textFill>
              </w:rPr>
            </w:pP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both"/>
              <w:rPr>
                <w:rFonts w:hint="default" w:ascii="宋体" w:hAnsi="宋体" w:eastAsia="宋体"/>
                <w:color w:val="000000" w:themeColor="text1"/>
                <w:position w:val="0"/>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951"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b/>
                <w:color w:val="000000" w:themeColor="text1"/>
                <w:position w:val="0"/>
                <w:sz w:val="24"/>
                <w:szCs w:val="24"/>
                <w14:textFill>
                  <w14:solidFill>
                    <w14:schemeClr w14:val="tx1"/>
                  </w14:solidFill>
                </w14:textFill>
              </w:rPr>
            </w:pPr>
          </w:p>
        </w:tc>
        <w:tc>
          <w:tcPr>
            <w:tcW w:w="3410" w:type="dxa"/>
            <w:shd w:val="clear" w:color="000000" w:fill="auto"/>
            <w:vAlign w:val="center"/>
          </w:tcPr>
          <w:p>
            <w:pPr>
              <w:numPr>
                <w:ilvl w:val="0"/>
                <w:numId w:val="0"/>
              </w:numPr>
              <w:wordWrap w:val="0"/>
              <w:autoSpaceDE/>
              <w:autoSpaceDN/>
              <w:spacing w:before="0" w:after="160" w:line="240" w:lineRule="auto"/>
              <w:ind w:left="0" w:right="0" w:firstLine="0"/>
              <w:jc w:val="center"/>
              <w:rPr>
                <w:rFonts w:hint="default" w:ascii="宋体" w:hAnsi="宋体" w:eastAsia="宋体"/>
                <w:color w:val="000000" w:themeColor="text1"/>
                <w:position w:val="0"/>
                <w:sz w:val="24"/>
                <w:szCs w:val="24"/>
                <w14:textFill>
                  <w14:solidFill>
                    <w14:schemeClr w14:val="tx1"/>
                  </w14:solidFill>
                </w14:textFill>
              </w:rPr>
            </w:pPr>
          </w:p>
        </w:tc>
        <w:tc>
          <w:tcPr>
            <w:tcW w:w="4252" w:type="dxa"/>
            <w:shd w:val="clear" w:color="000000" w:fill="auto"/>
            <w:vAlign w:val="center"/>
          </w:tcPr>
          <w:p>
            <w:pPr>
              <w:numPr>
                <w:ilvl w:val="0"/>
                <w:numId w:val="0"/>
              </w:numPr>
              <w:wordWrap w:val="0"/>
              <w:autoSpaceDE/>
              <w:autoSpaceDN/>
              <w:spacing w:before="0" w:after="160" w:line="240" w:lineRule="auto"/>
              <w:ind w:left="0" w:right="0" w:firstLine="0"/>
              <w:jc w:val="both"/>
              <w:rPr>
                <w:rFonts w:hint="default" w:ascii="宋体" w:hAnsi="宋体" w:eastAsia="宋体"/>
                <w:color w:val="000000" w:themeColor="text1"/>
                <w:position w:val="0"/>
                <w:sz w:val="22"/>
                <w:szCs w:val="22"/>
                <w14:textFill>
                  <w14:solidFill>
                    <w14:schemeClr w14:val="tx1"/>
                  </w14:solidFill>
                </w14:textFill>
              </w:rPr>
            </w:pPr>
          </w:p>
        </w:tc>
      </w:tr>
    </w:tbl>
    <w:p>
      <w:pPr>
        <w:numPr>
          <w:ilvl w:val="0"/>
          <w:numId w:val="0"/>
        </w:numPr>
        <w:wordWrap w:val="0"/>
        <w:autoSpaceDE/>
        <w:autoSpaceDN/>
        <w:spacing w:before="0" w:after="160" w:line="600" w:lineRule="exact"/>
        <w:ind w:left="0" w:right="0" w:firstLine="0"/>
        <w:jc w:val="both"/>
        <w:rPr>
          <w:rFonts w:hint="default" w:ascii="仿宋" w:hAnsi="仿宋" w:eastAsia="仿宋"/>
          <w:color w:val="auto"/>
          <w:position w:val="0"/>
          <w:sz w:val="32"/>
          <w:szCs w:val="32"/>
        </w:rPr>
      </w:pPr>
    </w:p>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p>
    <w:sectPr>
      <w:pgSz w:w="11906" w:h="16838"/>
      <w:pgMar w:top="1474" w:right="1440" w:bottom="1303" w:left="1440" w:header="708" w:footer="708" w:gutter="0"/>
      <w:pgNumType w:fmt="decimal"/>
      <w:docGrid w:type="line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F0502020204030204"/>
    <w:charset w:val="00"/>
    <w:family w:val="auto"/>
    <w:pitch w:val="default"/>
    <w:sig w:usb0="00000000" w:usb1="00000000" w:usb2="00000000" w:usb3="00000000" w:csb0="FFFFFF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rsids>
    <w:rsidRoot w:val="00000000"/>
    <w:rsid w:val="14AA7274"/>
    <w:rsid w:val="4AAD676A"/>
    <w:rsid w:val="7E837120"/>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2" w:name="header"/>
    <w:lsdException w:qFormat="1"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0"/>
      <w:szCs w:val="20"/>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0"/>
      <w:szCs w:val="20"/>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6">
    <w:name w:val="Default Paragraph Font"/>
    <w:semiHidden/>
    <w:unhideWhenUsed/>
    <w:uiPriority w:val="2"/>
  </w:style>
  <w:style w:type="table" w:default="1" w:styleId="24">
    <w:name w:val="Normal Table"/>
    <w:qFormat/>
    <w:uiPriority w:val="37"/>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footer"/>
    <w:basedOn w:val="1"/>
    <w:link w:val="49"/>
    <w:unhideWhenUsed/>
    <w:qFormat/>
    <w:uiPriority w:val="154"/>
    <w:pPr>
      <w:widowControl/>
      <w:tabs>
        <w:tab w:val="center" w:pos="4153"/>
        <w:tab w:val="right" w:pos="8306"/>
      </w:tabs>
      <w:wordWrap/>
      <w:autoSpaceDE/>
      <w:autoSpaceDN/>
    </w:pPr>
    <w:rPr>
      <w:w w:val="100"/>
      <w:sz w:val="18"/>
      <w:szCs w:val="18"/>
      <w:shd w:val="clear"/>
    </w:rPr>
  </w:style>
  <w:style w:type="paragraph" w:styleId="16">
    <w:name w:val="header"/>
    <w:basedOn w:val="1"/>
    <w:link w:val="48"/>
    <w:semiHidden/>
    <w:unhideWhenUsed/>
    <w:qFormat/>
    <w:uiPriority w:val="152"/>
    <w:pPr>
      <w:widowControl/>
      <w:tabs>
        <w:tab w:val="center" w:pos="4153"/>
        <w:tab w:val="right" w:pos="8306"/>
      </w:tabs>
      <w:wordWrap/>
      <w:autoSpaceDE/>
      <w:autoSpaceDN/>
      <w:jc w:val="center"/>
    </w:pPr>
    <w:rPr>
      <w:w w:val="100"/>
      <w:sz w:val="18"/>
      <w:szCs w:val="18"/>
      <w:shd w:val="clear"/>
    </w:rPr>
  </w:style>
  <w:style w:type="paragraph" w:styleId="17">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9">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3">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table" w:styleId="25">
    <w:name w:val="Table Grid"/>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20"/>
    <w:rPr>
      <w:b/>
      <w:w w:val="100"/>
      <w:sz w:val="21"/>
      <w:szCs w:val="21"/>
      <w:shd w:val="clear" w:color="000000"/>
    </w:rPr>
  </w:style>
  <w:style w:type="character" w:styleId="28">
    <w:name w:val="Emphasis"/>
    <w:qFormat/>
    <w:uiPriority w:val="18"/>
    <w:rPr>
      <w:i/>
      <w:w w:val="100"/>
      <w:sz w:val="21"/>
      <w:szCs w:val="21"/>
      <w:shd w:val="clear" w:color="000000"/>
    </w:rPr>
  </w:style>
  <w:style w:type="paragraph" w:styleId="29">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30">
    <w:name w:val="Subtle Emphasis"/>
    <w:qFormat/>
    <w:uiPriority w:val="17"/>
    <w:rPr>
      <w:i/>
      <w:color w:val="404040"/>
      <w:w w:val="100"/>
      <w:sz w:val="21"/>
      <w:szCs w:val="21"/>
      <w:shd w:val="clear" w:color="000000"/>
    </w:rPr>
  </w:style>
  <w:style w:type="character" w:customStyle="1" w:styleId="31">
    <w:name w:val="Intense Emphasis"/>
    <w:qFormat/>
    <w:uiPriority w:val="19"/>
    <w:rPr>
      <w:i/>
      <w:color w:val="5B9BD5"/>
      <w:w w:val="100"/>
      <w:sz w:val="21"/>
      <w:szCs w:val="21"/>
      <w:shd w:val="clear" w:color="000000"/>
    </w:rPr>
  </w:style>
  <w:style w:type="paragraph" w:styleId="32">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0"/>
      <w:szCs w:val="20"/>
      <w:shd w:val="clear"/>
    </w:rPr>
  </w:style>
  <w:style w:type="paragraph" w:styleId="33">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0"/>
      <w:szCs w:val="20"/>
      <w:shd w:val="clear"/>
    </w:rPr>
  </w:style>
  <w:style w:type="character" w:customStyle="1" w:styleId="34">
    <w:name w:val="Subtle Reference"/>
    <w:qFormat/>
    <w:uiPriority w:val="23"/>
    <w:rPr>
      <w:smallCaps/>
      <w:color w:val="5A5A5A"/>
      <w:w w:val="100"/>
      <w:sz w:val="21"/>
      <w:szCs w:val="21"/>
      <w:shd w:val="clear" w:color="000000"/>
    </w:rPr>
  </w:style>
  <w:style w:type="character" w:customStyle="1" w:styleId="35">
    <w:name w:val="Intense Reference"/>
    <w:qFormat/>
    <w:uiPriority w:val="24"/>
    <w:rPr>
      <w:b/>
      <w:smallCaps/>
      <w:color w:val="5B9BD5"/>
      <w:w w:val="100"/>
      <w:sz w:val="21"/>
      <w:szCs w:val="21"/>
      <w:shd w:val="clear" w:color="000000"/>
    </w:rPr>
  </w:style>
  <w:style w:type="character" w:customStyle="1" w:styleId="36">
    <w:name w:val="Book Title"/>
    <w:qFormat/>
    <w:uiPriority w:val="25"/>
    <w:rPr>
      <w:b/>
      <w:i/>
      <w:w w:val="100"/>
      <w:sz w:val="21"/>
      <w:szCs w:val="21"/>
      <w:shd w:val="clear" w:color="000000"/>
    </w:rPr>
  </w:style>
  <w:style w:type="paragraph" w:styleId="37">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8">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 w:type="table" w:customStyle="1" w:styleId="39">
    <w:name w:val="Calendar1"/>
    <w:qFormat/>
    <w:uiPriority w:val="143"/>
    <w:rPr>
      <w:w w:val="100"/>
      <w:sz w:val="22"/>
      <w:szCs w:val="22"/>
      <w:shd w:val="clear"/>
    </w:rPr>
    <w:tblPr>
      <w:tblLayout w:type="fixed"/>
      <w:tblCellMar>
        <w:top w:w="0" w:type="dxa"/>
        <w:left w:w="108" w:type="dxa"/>
        <w:bottom w:w="0" w:type="dxa"/>
        <w:right w:w="108" w:type="dxa"/>
      </w:tblCellMar>
    </w:tblPr>
    <w:tblStylePr w:type="firstRow">
      <w:pPr>
        <w:jc w:val="both"/>
      </w:pPr>
      <w:rPr>
        <w:b/>
        <w:w w:val="100"/>
        <w:sz w:val="44"/>
        <w:szCs w:val="44"/>
        <w:shd w:val="clear" w:color="000000"/>
      </w:rPr>
    </w:tblStylePr>
    <w:tblStylePr w:type="lastRow">
      <w:tcPr>
        <w:tcBorders>
          <w:top w:val="nil"/>
          <w:left w:val="nil"/>
          <w:bottom w:val="nil"/>
          <w:right w:val="nil"/>
          <w:insideH w:val="nil"/>
          <w:insideV w:val="nil"/>
          <w:tl2br w:val="nil"/>
          <w:tr2bl w:val="nil"/>
        </w:tcBorders>
        <w:shd w:val="clear" w:color="auto" w:fill="auto"/>
      </w:tcPr>
    </w:tblStyle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color="000000" w:themeColor="text1" w:sz="24" w:space="0"/>
          <w:left w:val="nil"/>
          <w:bottom w:val="single" w:color="000000" w:themeColor="text1" w:sz="24" w:space="0"/>
          <w:right w:val="nil"/>
          <w:insideH w:val="nil"/>
          <w:insideV w:val="nil"/>
          <w:tl2br w:val="nil"/>
          <w:tr2bl w:val="nil"/>
        </w:tcBorders>
        <w:shd w:val="clear" w:color="auto" w:fill="auto"/>
      </w:tcPr>
    </w:tblStylePr>
  </w:style>
  <w:style w:type="table" w:customStyle="1" w:styleId="40">
    <w:name w:val="Calendar2"/>
    <w:qFormat/>
    <w:uiPriority w:val="144"/>
    <w:pPr>
      <w:widowControl/>
      <w:wordWrap/>
      <w:autoSpaceDE/>
      <w:autoSpaceDN/>
      <w:jc w:val="center"/>
    </w:pPr>
    <w:rPr>
      <w:w w:val="100"/>
      <w:sz w:val="28"/>
      <w:szCs w:val="28"/>
      <w:shd w:val="clear"/>
    </w:rPr>
    <w:tblPr>
      <w:tblBorders>
        <w:insideV w:val="single" w:color="9CC2E5" w:themeColor="accent1" w:themeTint="99" w:sz="4" w:space="0"/>
      </w:tblBorders>
      <w:tblLayout w:type="fixed"/>
      <w:tblCellMar>
        <w:top w:w="0" w:type="dxa"/>
        <w:left w:w="108" w:type="dxa"/>
        <w:bottom w:w="0" w:type="dxa"/>
        <w:right w:w="108" w:type="dxa"/>
      </w:tblCellMar>
    </w:tblPr>
    <w:tblStylePr w:type="firstRow">
      <w:rPr>
        <w:b w:val="0"/>
        <w:caps/>
        <w:color w:val="5B9BD5" w:themeColor="accent1"/>
        <w:w w:val="100"/>
        <w:sz w:val="32"/>
        <w:szCs w:val="32"/>
        <w:shd w:val="clear" w:color="000000"/>
        <w14:textFill>
          <w14:solidFill>
            <w14:schemeClr w14:val="accent1"/>
          </w14:solidFill>
        </w14:textFill>
      </w:rPr>
      <w:tcPr>
        <w:tcBorders>
          <w:top w:val="nil"/>
          <w:left w:val="nil"/>
          <w:bottom w:val="nil"/>
          <w:right w:val="nil"/>
          <w:insideH w:val="nil"/>
          <w:insideV w:val="nil"/>
          <w:tl2br w:val="nil"/>
          <w:tr2bl w:val="nil"/>
        </w:tcBorders>
      </w:tcPr>
    </w:tblStylePr>
  </w:style>
  <w:style w:type="table" w:customStyle="1" w:styleId="41">
    <w:name w:val="Calendar3"/>
    <w:qFormat/>
    <w:uiPriority w:val="145"/>
    <w:pPr>
      <w:widowControl/>
      <w:wordWrap/>
      <w:autoSpaceDE/>
      <w:autoSpaceDN/>
      <w:jc w:val="right"/>
    </w:pPr>
    <w:rPr>
      <w:color w:val="000000" w:themeColor="text1"/>
      <w:w w:val="100"/>
      <w:sz w:val="22"/>
      <w:szCs w:val="22"/>
      <w:shd w:val="clear"/>
      <w14:textFill>
        <w14:solidFill>
          <w14:schemeClr w14:val="tx1"/>
        </w14:solidFill>
      </w14:textFill>
    </w:rPr>
    <w:tblPr>
      <w:tblLayout w:type="fixed"/>
      <w:tblCellMar>
        <w:top w:w="0" w:type="dxa"/>
        <w:left w:w="108" w:type="dxa"/>
        <w:bottom w:w="0" w:type="dxa"/>
        <w:right w:w="108" w:type="dxa"/>
      </w:tblCellMar>
    </w:tblPr>
    <w:tblStylePr w:type="firstRow">
      <w:pPr>
        <w:jc w:val="right"/>
      </w:pPr>
      <w:rPr>
        <w:color w:val="5B9BD5" w:themeColor="accent1"/>
        <w:w w:val="100"/>
        <w:sz w:val="44"/>
        <w:szCs w:val="44"/>
        <w:shd w:val="clear" w:color="000000"/>
        <w14:textFill>
          <w14:solidFill>
            <w14:schemeClr w14:val="accent1"/>
          </w14:solidFill>
        </w14:textFill>
      </w:rPr>
    </w:tblStylePr>
    <w:tblStylePr w:type="firstCol">
      <w:rPr>
        <w:color w:val="5B9BD5" w:themeColor="accent1"/>
        <w:w w:val="100"/>
        <w:sz w:val="20"/>
        <w:szCs w:val="20"/>
        <w:shd w:val="clear" w:color="000000"/>
        <w14:textFill>
          <w14:solidFill>
            <w14:schemeClr w14:val="accent1"/>
          </w14:solidFill>
        </w14:textFill>
      </w:rPr>
    </w:tblStylePr>
    <w:tblStylePr w:type="lastCol">
      <w:rPr>
        <w:color w:val="5B9BD5" w:themeColor="accent1"/>
        <w:w w:val="100"/>
        <w:sz w:val="20"/>
        <w:szCs w:val="20"/>
        <w:shd w:val="clear" w:color="000000"/>
        <w14:textFill>
          <w14:solidFill>
            <w14:schemeClr w14:val="accent1"/>
          </w14:solidFill>
        </w14:textFill>
      </w:rPr>
    </w:tblStylePr>
  </w:style>
  <w:style w:type="table" w:customStyle="1" w:styleId="42">
    <w:name w:val="Calendar4"/>
    <w:qFormat/>
    <w:uiPriority w:val="146"/>
    <w:rPr>
      <w:b/>
      <w:color w:val="FFFFFF" w:themeColor="background1"/>
      <w:w w:val="100"/>
      <w:sz w:val="16"/>
      <w:szCs w:val="16"/>
      <w:shd w:val="clear"/>
      <w14:textFill>
        <w14:solidFill>
          <w14:schemeClr w14:val="bg1"/>
        </w14:solidFill>
      </w14:textFill>
    </w:r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CellMar>
        <w:top w:w="0" w:type="dxa"/>
        <w:left w:w="108" w:type="dxa"/>
        <w:bottom w:w="0" w:type="dxa"/>
        <w:right w:w="108" w:type="dxa"/>
      </w:tblCellMar>
    </w:tblPr>
    <w:tcPr>
      <w:shd w:val="clear" w:color="000000" w:fill="1E4D78" w:themeFill="accent1" w:themeFillShade="7F"/>
    </w:tcPr>
    <w:tblStylePr w:type="firstRow">
      <w:rPr>
        <w:w w:val="100"/>
        <w:sz w:val="8"/>
        <w:szCs w:val="8"/>
        <w:shd w:val="clear" w:color="000000"/>
      </w:rPr>
    </w:tblStylePr>
    <w:tblStylePr w:type="firstCol">
      <w:pPr>
        <w:ind w:right="144" w:firstLine="0"/>
        <w:jc w:val="right"/>
      </w:pPr>
      <w:rPr>
        <w:b/>
        <w:w w:val="100"/>
        <w:sz w:val="72"/>
        <w:szCs w:val="72"/>
        <w:shd w:val="clear" w:color="000000"/>
      </w:rPr>
    </w:tblStylePr>
    <w:tblStylePr w:type="band1Horz">
      <w:rPr>
        <w:w w:val="100"/>
        <w:sz w:val="16"/>
        <w:szCs w:val="16"/>
        <w:shd w:val="clear" w:color="000000"/>
      </w:rPr>
    </w:tblStylePr>
    <w:tblStylePr w:type="band2Horz">
      <w:rPr>
        <w:w w:val="100"/>
        <w:sz w:val="40"/>
        <w:szCs w:val="40"/>
        <w:shd w:val="clear" w:color="000000"/>
      </w:rPr>
      <w:tcPr>
        <w:tcMar>
          <w:top w:w="0" w:type="dxa"/>
          <w:left w:w="0" w:type="dxa"/>
          <w:bottom w:w="86" w:type="dxa"/>
          <w:right w:w="115" w:type="dxa"/>
        </w:tcMar>
      </w:tcPr>
    </w:tblStylePr>
    <w:tblStylePr w:type="nwCell">
      <w:rPr>
        <w:w w:val="100"/>
        <w:sz w:val="8"/>
        <w:szCs w:val="8"/>
        <w:shd w:val="clear" w:color="000000"/>
      </w:rPr>
    </w:tblStylePr>
  </w:style>
  <w:style w:type="table" w:customStyle="1" w:styleId="43">
    <w:name w:val="LightShading-Accent1"/>
    <w:qFormat/>
    <w:uiPriority w:val="147"/>
    <w:rPr>
      <w:color w:val="3785CC" w:themeColor="accent1" w:themeShade="D9"/>
      <w:w w:val="100"/>
      <w:sz w:val="22"/>
      <w:szCs w:val="22"/>
      <w:shd w:val="clear"/>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pPr>
        <w:jc w:val="both"/>
      </w:pPr>
      <w:rPr>
        <w:b/>
        <w:w w:val="100"/>
        <w:sz w:val="20"/>
        <w:szCs w:val="20"/>
        <w:shd w:val="clear" w:color="000000"/>
      </w:rPr>
      <w:tcPr>
        <w:tcBorders>
          <w:top w:val="single" w:color="5B9BD5" w:themeColor="accent1" w:sz="8" w:space="0"/>
          <w:left w:val="nil"/>
          <w:bottom w:val="single" w:color="5B9BD5" w:themeColor="accent1" w:sz="8" w:space="0"/>
          <w:right w:val="nil"/>
          <w:insideH w:val="nil"/>
          <w:insideV w:val="nil"/>
        </w:tcBorders>
      </w:tcPr>
    </w:tblStylePr>
    <w:tblStylePr w:type="lastRow">
      <w:pPr>
        <w:jc w:val="both"/>
      </w:pPr>
      <w:rPr>
        <w:b/>
        <w:w w:val="100"/>
        <w:sz w:val="20"/>
        <w:szCs w:val="20"/>
        <w:shd w:val="clear" w:color="000000"/>
      </w:rPr>
      <w:tcPr>
        <w:tcBorders>
          <w:top w:val="single" w:color="5B9BD5" w:themeColor="accent1" w:sz="8" w:space="0"/>
          <w:left w:val="nil"/>
          <w:bottom w:val="single" w:color="5B9BD5" w:themeColor="accent1" w:sz="8" w:space="0"/>
          <w:right w:val="nil"/>
          <w:insideH w:val="nil"/>
          <w:insideV w:val="nil"/>
        </w:tcBorders>
      </w:tcPr>
    </w:tblStylePr>
    <w:tblStylePr w:type="firstCol">
      <w:rPr>
        <w:b/>
        <w:w w:val="100"/>
        <w:sz w:val="20"/>
        <w:szCs w:val="20"/>
        <w:shd w:val="clear" w:color="000000"/>
      </w:rPr>
    </w:tblStylePr>
    <w:tblStylePr w:type="lastCol">
      <w:rPr>
        <w:b/>
        <w:w w:val="100"/>
        <w:sz w:val="20"/>
        <w:szCs w:val="20"/>
        <w:shd w:val="clear" w:color="000000"/>
      </w:rPr>
    </w:tblStylePr>
    <w:tblStylePr w:type="band1Vert">
      <w:tcPr>
        <w:tcBorders>
          <w:left w:val="nil"/>
          <w:right w:val="nil"/>
          <w:insideH w:val="nil"/>
          <w:insideV w:val="nil"/>
        </w:tcBorders>
        <w:shd w:val="clear" w:color="000000" w:fill="D7E6F4" w:themeFill="accent1" w:themeFillTint="3E"/>
      </w:tcPr>
    </w:tblStylePr>
    <w:tblStylePr w:type="band1Horz">
      <w:tcPr>
        <w:tcBorders>
          <w:left w:val="nil"/>
          <w:right w:val="nil"/>
          <w:insideH w:val="nil"/>
          <w:insideV w:val="nil"/>
        </w:tcBorders>
        <w:shd w:val="clear" w:color="000000" w:fill="D7E6F4" w:themeFill="accent1" w:themeFillTint="3E"/>
      </w:tcPr>
    </w:tblStylePr>
  </w:style>
  <w:style w:type="table" w:customStyle="1" w:styleId="44">
    <w:name w:val="MediumShading2-Accent5"/>
    <w:qFormat/>
    <w:uiPriority w:val="148"/>
    <w:rPr>
      <w:w w:val="100"/>
      <w:sz w:val="22"/>
      <w:szCs w:val="22"/>
      <w:shd w:val="clear"/>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jc w:val="both"/>
      </w:pPr>
      <w:rPr>
        <w:b/>
        <w:color w:val="FFFFFF" w:themeColor="background1"/>
        <w:w w:val="100"/>
        <w:sz w:val="20"/>
        <w:szCs w:val="20"/>
        <w:shd w:val="clear" w:color="000000"/>
        <w14:textFill>
          <w14:solidFill>
            <w14:schemeClr w14:val="bg1"/>
          </w14:solidFill>
        </w14:textFill>
      </w:rPr>
      <w:tcPr>
        <w:tcBorders>
          <w:top w:val="single" w:color="auto" w:sz="18" w:space="0"/>
          <w:left w:val="nil"/>
          <w:bottom w:val="single" w:color="auto" w:sz="18" w:space="0"/>
          <w:right w:val="nil"/>
          <w:insideH w:val="nil"/>
          <w:insideV w:val="nil"/>
        </w:tcBorders>
        <w:shd w:val="clear" w:color="000000" w:fill="4472C4" w:themeFill="accent5"/>
      </w:tcPr>
    </w:tblStylePr>
    <w:tblStylePr w:type="lastRow">
      <w:pPr>
        <w:jc w:val="both"/>
      </w:pPr>
      <w:rPr>
        <w:b/>
        <w:w w:val="100"/>
        <w:sz w:val="20"/>
        <w:szCs w:val="20"/>
        <w:shd w:val="clear" w:color="000000"/>
      </w:rPr>
      <w:tcPr>
        <w:tcBorders>
          <w:top w:val="double" w:color="auto" w:sz="6" w:space="0"/>
          <w:left w:val="nil"/>
          <w:bottom w:val="single" w:color="auto" w:sz="18" w:space="0"/>
          <w:right w:val="nil"/>
          <w:insideH w:val="nil"/>
          <w:insideV w:val="nil"/>
        </w:tcBorders>
        <w:shd w:val="clear" w:color="000000" w:fill="FFFFFF" w:themeFill="background1"/>
      </w:tcPr>
    </w:tblStylePr>
    <w:tblStylePr w:type="firstCol">
      <w:rPr>
        <w:b/>
        <w:color w:val="FFFFFF" w:themeColor="background1"/>
        <w:w w:val="100"/>
        <w:sz w:val="20"/>
        <w:szCs w:val="20"/>
        <w:shd w:val="clear" w:color="000000"/>
        <w14:textFill>
          <w14:solidFill>
            <w14:schemeClr w14:val="bg1"/>
          </w14:solidFill>
        </w14:textFill>
      </w:rPr>
      <w:tcPr>
        <w:tcBorders>
          <w:top w:val="nil"/>
          <w:left w:val="nil"/>
          <w:bottom w:val="single" w:color="auto" w:sz="18" w:space="0"/>
          <w:right w:val="nil"/>
          <w:insideH w:val="nil"/>
          <w:insideV w:val="nil"/>
        </w:tcBorders>
        <w:shd w:val="clear" w:color="000000" w:fill="4472C4" w:themeFill="accent5"/>
      </w:tcPr>
    </w:tblStylePr>
    <w:tblStylePr w:type="lastCol">
      <w:rPr>
        <w:b/>
        <w:color w:val="FFFFFF" w:themeColor="background1"/>
        <w:w w:val="100"/>
        <w:sz w:val="20"/>
        <w:szCs w:val="20"/>
        <w:shd w:val="clear" w:color="000000"/>
        <w14:textFill>
          <w14:solidFill>
            <w14:schemeClr w14:val="bg1"/>
          </w14:solidFill>
        </w14:textFill>
      </w:rPr>
      <w:tcPr>
        <w:tcBorders>
          <w:left w:val="nil"/>
          <w:right w:val="nil"/>
          <w:insideH w:val="nil"/>
          <w:insideV w:val="nil"/>
        </w:tcBorders>
        <w:shd w:val="clear" w:color="000000" w:fill="4472C4" w:themeFill="accent5"/>
      </w:tcPr>
    </w:tblStylePr>
    <w:tblStylePr w:type="band1Vert">
      <w:tcPr>
        <w:tcBorders>
          <w:left w:val="nil"/>
          <w:right w:val="nil"/>
          <w:insideH w:val="nil"/>
          <w:insideV w:val="nil"/>
        </w:tcBorders>
        <w:shd w:val="clear" w:color="000000" w:fill="D6D6D6" w:themeFill="background1" w:themeFillShade="D7"/>
      </w:tcPr>
    </w:tblStylePr>
    <w:tblStylePr w:type="band1Horz">
      <w:tcPr>
        <w:shd w:val="clear" w:color="000000" w:fill="D6D6D6" w:themeFill="background1" w:themeFillShade="D7"/>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w w:val="100"/>
        <w:sz w:val="20"/>
        <w:szCs w:val="20"/>
        <w:shd w:val="clear" w:color="000000"/>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45">
    <w:name w:val="LightList"/>
    <w:qFormat/>
    <w:uiPriority w:val="149"/>
    <w:rPr>
      <w:w w:val="100"/>
      <w:sz w:val="22"/>
      <w:szCs w:val="22"/>
      <w:shd w:val="clear"/>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jc w:val="both"/>
      </w:pPr>
      <w:rPr>
        <w:b/>
        <w:color w:val="FFFFFF" w:themeColor="background1"/>
        <w:w w:val="100"/>
        <w:sz w:val="20"/>
        <w:szCs w:val="20"/>
        <w:shd w:val="clear" w:color="000000"/>
        <w14:textFill>
          <w14:solidFill>
            <w14:schemeClr w14:val="bg1"/>
          </w14:solidFill>
        </w14:textFill>
      </w:rPr>
      <w:tcPr>
        <w:shd w:val="clear" w:color="000000" w:fill="000000" w:themeFill="text1"/>
      </w:tcPr>
    </w:tblStylePr>
    <w:tblStylePr w:type="lastRow">
      <w:pPr>
        <w:jc w:val="both"/>
      </w:pPr>
      <w:rPr>
        <w:b/>
        <w:w w:val="100"/>
        <w:sz w:val="20"/>
        <w:szCs w:val="20"/>
        <w:shd w:val="clear" w:color="000000"/>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w w:val="100"/>
        <w:sz w:val="20"/>
        <w:szCs w:val="20"/>
        <w:shd w:val="clear" w:color="000000"/>
      </w:rPr>
    </w:tblStylePr>
    <w:tblStylePr w:type="lastCol">
      <w:rPr>
        <w:b/>
        <w:w w:val="100"/>
        <w:sz w:val="20"/>
        <w:szCs w:val="20"/>
        <w:shd w:val="clear" w:color="000000"/>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46">
    <w:name w:val="LightList-Accent3"/>
    <w:qFormat/>
    <w:uiPriority w:val="150"/>
    <w:rPr>
      <w:w w:val="100"/>
      <w:sz w:val="22"/>
      <w:szCs w:val="22"/>
      <w:shd w:val="clear"/>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pPr>
        <w:jc w:val="both"/>
      </w:pPr>
      <w:rPr>
        <w:b/>
        <w:color w:val="FFFFFF" w:themeColor="background1"/>
        <w:w w:val="100"/>
        <w:sz w:val="20"/>
        <w:szCs w:val="20"/>
        <w:shd w:val="clear" w:color="000000"/>
        <w14:textFill>
          <w14:solidFill>
            <w14:schemeClr w14:val="bg1"/>
          </w14:solidFill>
        </w14:textFill>
      </w:rPr>
      <w:tcPr>
        <w:shd w:val="clear" w:color="000000" w:fill="A5A5A5" w:themeFill="accent3"/>
      </w:tcPr>
    </w:tblStylePr>
    <w:tblStylePr w:type="lastRow">
      <w:pPr>
        <w:jc w:val="both"/>
      </w:pPr>
      <w:rPr>
        <w:b/>
        <w:w w:val="100"/>
        <w:sz w:val="20"/>
        <w:szCs w:val="20"/>
        <w:shd w:val="clear" w:color="000000"/>
      </w:rPr>
      <w:tcPr>
        <w:tcBorders>
          <w:top w:val="doub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firstCol">
      <w:rPr>
        <w:b/>
        <w:w w:val="100"/>
        <w:sz w:val="20"/>
        <w:szCs w:val="20"/>
        <w:shd w:val="clear" w:color="000000"/>
      </w:rPr>
    </w:tblStylePr>
    <w:tblStylePr w:type="lastCol">
      <w:rPr>
        <w:b/>
        <w:w w:val="100"/>
        <w:sz w:val="20"/>
        <w:szCs w:val="20"/>
        <w:shd w:val="clear" w:color="000000"/>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customStyle="1" w:styleId="47">
    <w:name w:val="MediumList2-Accent1"/>
    <w:qFormat/>
    <w:uiPriority w:val="151"/>
    <w:rPr>
      <w:color w:val="000000" w:themeColor="text1"/>
      <w:w w:val="100"/>
      <w:sz w:val="22"/>
      <w:szCs w:val="22"/>
      <w:shd w:val="clear"/>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rPr>
        <w:w w:val="100"/>
        <w:sz w:val="24"/>
        <w:szCs w:val="24"/>
        <w:shd w:val="clear" w:color="000000"/>
      </w:rPr>
      <w:tcPr>
        <w:tcBorders>
          <w:top w:val="nil"/>
          <w:left w:val="nil"/>
          <w:bottom w:val="single" w:color="5B9BD5" w:themeColor="accent1" w:sz="24" w:space="0"/>
          <w:right w:val="nil"/>
          <w:insideH w:val="nil"/>
          <w:insideV w:val="nil"/>
        </w:tcBorders>
        <w:shd w:val="clear" w:color="000000" w:fill="FFFFFF" w:themeFill="background1"/>
      </w:tcPr>
    </w:tblStylePr>
    <w:tblStylePr w:type="lastRow">
      <w:tcPr>
        <w:tcBorders>
          <w:top w:val="single" w:color="5B9BD5" w:themeColor="accent1" w:sz="8" w:space="0"/>
          <w:left w:val="nil"/>
          <w:bottom w:val="nil"/>
          <w:right w:val="nil"/>
          <w:insideH w:val="nil"/>
          <w:insideV w:val="nil"/>
        </w:tcBorders>
        <w:shd w:val="clear" w:color="000000" w:fill="FFFFFF" w:themeFill="background1"/>
      </w:tcPr>
    </w:tblStylePr>
    <w:tblStylePr w:type="firstCol">
      <w:tcPr>
        <w:tcBorders>
          <w:top w:val="nil"/>
          <w:left w:val="nil"/>
          <w:bottom w:val="nil"/>
          <w:right w:val="single" w:color="5B9BD5" w:themeColor="accent1" w:sz="8" w:space="0"/>
          <w:insideH w:val="nil"/>
          <w:insideV w:val="nil"/>
        </w:tcBorders>
        <w:shd w:val="clear" w:color="000000" w:fill="FFFFFF" w:themeFill="background1"/>
      </w:tcPr>
    </w:tblStylePr>
    <w:tblStylePr w:type="lastCol">
      <w:tcPr>
        <w:tcBorders>
          <w:top w:val="nil"/>
          <w:left w:val="single" w:color="5B9BD5" w:themeColor="accent1" w:sz="8" w:space="0"/>
          <w:bottom w:val="nil"/>
          <w:right w:val="nil"/>
          <w:insideH w:val="nil"/>
          <w:insideV w:val="nil"/>
        </w:tcBorders>
        <w:shd w:val="clear" w:color="000000" w:fill="FFFFFF" w:themeFill="background1"/>
      </w:tcPr>
    </w:tblStylePr>
    <w:tblStylePr w:type="band1Vert">
      <w:tcPr>
        <w:tcBorders>
          <w:left w:val="nil"/>
          <w:right w:val="nil"/>
          <w:insideH w:val="nil"/>
          <w:insideV w:val="nil"/>
        </w:tcBorders>
        <w:shd w:val="clear" w:color="000000" w:fill="D7E6F4" w:themeFill="accent1" w:themeFillTint="3E"/>
      </w:tcPr>
    </w:tblStylePr>
    <w:tblStylePr w:type="band1Horz">
      <w:tcPr>
        <w:tcBorders>
          <w:top w:val="nil"/>
          <w:bottom w:val="nil"/>
          <w:insideH w:val="nil"/>
          <w:insideV w:val="nil"/>
        </w:tcBorders>
        <w:shd w:val="clear" w:color="000000" w:fill="D7E6F4" w:themeFill="accent1" w:themeFillTint="3E"/>
      </w:tcPr>
    </w:tblStylePr>
    <w:tblStylePr w:type="nwCell">
      <w:tcPr>
        <w:shd w:val="clear" w:color="000000" w:fill="FFFFFF" w:themeFill="background1"/>
      </w:tcPr>
    </w:tblStylePr>
    <w:tblStylePr w:type="swCell">
      <w:tcPr>
        <w:tcBorders>
          <w:top w:val="nil"/>
        </w:tcBorders>
      </w:tcPr>
    </w:tblStylePr>
  </w:style>
  <w:style w:type="character" w:customStyle="1" w:styleId="48">
    <w:name w:val="页眉 Char"/>
    <w:basedOn w:val="26"/>
    <w:link w:val="16"/>
    <w:semiHidden/>
    <w:qFormat/>
    <w:uiPriority w:val="153"/>
    <w:rPr>
      <w:w w:val="100"/>
      <w:sz w:val="18"/>
      <w:szCs w:val="18"/>
      <w:shd w:val="clear" w:color="000000"/>
    </w:rPr>
  </w:style>
  <w:style w:type="character" w:customStyle="1" w:styleId="49">
    <w:name w:val="页脚 Char"/>
    <w:basedOn w:val="26"/>
    <w:link w:val="15"/>
    <w:qFormat/>
    <w:uiPriority w:val="155"/>
    <w:rPr>
      <w:w w:val="100"/>
      <w:sz w:val="18"/>
      <w:szCs w:val="18"/>
      <w:shd w:val="clear" w:color="000000"/>
    </w:rPr>
  </w:style>
  <w:style w:type="paragraph" w:customStyle="1" w:styleId="50">
    <w:name w:val="正文 New New New New New New New New New New New New New New New New New New New New"/>
    <w:qFormat/>
    <w:uiPriority w:val="156"/>
    <w:pPr>
      <w:widowControl/>
      <w:wordWrap/>
      <w:autoSpaceDE/>
      <w:autoSpaceDN/>
      <w:jc w:val="both"/>
    </w:pPr>
    <w:rPr>
      <w:rFonts w:ascii="宋体" w:hAnsi="宋体" w:eastAsia="Times New Roman" w:cstheme="minorBidi"/>
      <w:w w:val="100"/>
      <w:sz w:val="22"/>
      <w:szCs w:val="22"/>
      <w:shd w:val="clear"/>
    </w:rPr>
  </w:style>
  <w:style w:type="paragraph" w:customStyle="1" w:styleId="51">
    <w:name w:val="正文 New New New New New New New New New New New New New New New New New New New New New New New New New"/>
    <w:qFormat/>
    <w:uiPriority w:val="157"/>
    <w:pPr>
      <w:widowControl/>
      <w:wordWrap/>
      <w:autoSpaceDE/>
      <w:autoSpaceDN/>
      <w:jc w:val="both"/>
    </w:pPr>
    <w:rPr>
      <w:rFonts w:ascii="宋体" w:hAnsi="宋体" w:eastAsia="Times New Roman" w:cstheme="minorBidi"/>
      <w:w w:val="100"/>
      <w:sz w:val="20"/>
      <w:szCs w:val="20"/>
      <w:shd w:val="clear"/>
    </w:rPr>
  </w:style>
  <w:style w:type="paragraph" w:customStyle="1" w:styleId="52">
    <w:name w:val="正文 New New New New New New New New New New New New New New New New New New New New New New New New New New New New"/>
    <w:qFormat/>
    <w:uiPriority w:val="158"/>
    <w:pPr>
      <w:widowControl/>
      <w:wordWrap/>
      <w:autoSpaceDE/>
      <w:autoSpaceDN/>
      <w:jc w:val="both"/>
    </w:pPr>
    <w:rPr>
      <w:rFonts w:ascii="宋体" w:hAnsi="宋体" w:eastAsia="Times New Roman" w:cstheme="minorBidi"/>
      <w:w w:val="100"/>
      <w:sz w:val="20"/>
      <w:szCs w:val="20"/>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1344</Words>
  <Characters>0</Characters>
  <Lines>63</Lines>
  <Paragraphs>17</Paragraphs>
  <TotalTime>63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2019-08-30T07:04:00Z</dcterms:created>
  <dc:creator>mn</dc:creator>
  <cp:lastModifiedBy>zf1</cp:lastModifiedBy>
  <dcterms:modified xsi:type="dcterms:W3CDTF">2019-11-07T00:26:00Z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